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0"/>
        <w:tblW w:w="10035" w:type="dxa"/>
        <w:tblLayout w:type="fixed"/>
        <w:tblLook w:val="0000"/>
      </w:tblPr>
      <w:tblGrid>
        <w:gridCol w:w="10035"/>
      </w:tblGrid>
      <w:tr w:rsidR="00C6300A" w:rsidRPr="00C6300A" w:rsidTr="00970CA7">
        <w:trPr>
          <w:trHeight w:val="3513"/>
        </w:trPr>
        <w:tc>
          <w:tcPr>
            <w:tcW w:w="10035" w:type="dxa"/>
            <w:shd w:val="clear" w:color="auto" w:fill="auto"/>
          </w:tcPr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885825"/>
                  <wp:effectExtent l="19050" t="0" r="9525" b="0"/>
                  <wp:docPr id="1" name="Рисунок 1" descr="Описание: герб го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го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C6300A" w:rsidRPr="00C6300A" w:rsidRDefault="00C6300A" w:rsidP="00C6300A">
            <w:pPr>
              <w:tabs>
                <w:tab w:val="center" w:pos="4551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СОБРАНИЕ  ДЕПУТАТОВ  ПЛАСТОВСКОГО МУНИЦИПАЛЬНОГО РАЙОНА</w:t>
            </w:r>
          </w:p>
          <w:p w:rsidR="00C6300A" w:rsidRPr="00C6300A" w:rsidRDefault="00C6300A" w:rsidP="00C6300A">
            <w:pPr>
              <w:tabs>
                <w:tab w:val="center" w:pos="4551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C6300A" w:rsidRPr="00C6300A" w:rsidRDefault="00C6300A" w:rsidP="00C6300A">
            <w:pPr>
              <w:pBdr>
                <w:bottom w:val="single" w:sz="12" w:space="1" w:color="auto"/>
              </w:pBd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C6300A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  <w:r w:rsidRPr="00C6300A">
              <w:rPr>
                <w:rFonts w:ascii="Times New Roman" w:hAnsi="Times New Roman" w:cs="Times New Roman"/>
                <w:sz w:val="40"/>
                <w:szCs w:val="40"/>
              </w:rPr>
              <w:t xml:space="preserve"> Е Ш Е Н И Е</w:t>
            </w:r>
          </w:p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630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31       </w:t>
            </w: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630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10          </w:t>
            </w: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2019г.                                                                 №</w:t>
            </w:r>
            <w:r w:rsidRPr="00C630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107</w:t>
            </w:r>
          </w:p>
          <w:p w:rsidR="00C6300A" w:rsidRPr="00C6300A" w:rsidRDefault="00C6300A" w:rsidP="00C6300A">
            <w:pPr>
              <w:tabs>
                <w:tab w:val="center" w:pos="4153"/>
                <w:tab w:val="right" w:pos="8306"/>
              </w:tabs>
              <w:spacing w:after="0"/>
              <w:rPr>
                <w:rFonts w:ascii="Times New Roman" w:hAnsi="Times New Roman" w:cs="Times New Roman"/>
                <w:szCs w:val="16"/>
              </w:rPr>
            </w:pPr>
          </w:p>
        </w:tc>
      </w:tr>
    </w:tbl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О принятии Стратегии 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 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Пластовского муниципального района  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до  2035  года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Рассмотрев  прое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атегии  социально-экономического  развития  Пластовского  муниципального  района  до  2035  года,  представленный  заместителем  главы  Пластовского  муниципального  района  по  управлению  экономикой  и  муниципальным  имуществом С.А. Федорцовой,  в  целях  создания  условий  для  стабильного  развития   экономики  Пластовского  муниципального  района,  повышения  благосостояния  и качества  жизни  населения,  Собрание  депутатов  Пластовского  муниципального  района 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6300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Е Ш А Е Т: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1. Принять  Стратегию  социально-экономического  развития  Пластовского  муниципального  района  до  2035  года  согласно   приложению.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2. Признать утратившим силу решение Собрания депутатов Пластовского муниципального района от 14.12.2015 г. №152 «О принятии Стратегии  социально-экономического  развития Пластовского муниципального  района  до  2020  года».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3. Ответственность  за  исполнение    настоящего  решения  возложить  на  заместителя  главы  Пластовского  муниципального  района  по  управлению            экономикой и муниципальным имуществом С.А. Федорцову.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4. Контроль  исполнения  настоящего  решения  поручить  постоянной  депутатской комиссии  по  бюджету  и  экономике  (Л.А. Воронина).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5. Настоящее  решение  вступает  в  силу  с  момента  принятия.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Пластовского муниципального района                                                  Н.Н. Рябов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Глава  Пластовского   </w:t>
      </w:r>
    </w:p>
    <w:p w:rsidR="00C6300A" w:rsidRPr="00C6300A" w:rsidRDefault="00C6300A" w:rsidP="00C630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муниципального  района</w:t>
      </w:r>
      <w:r w:rsidRPr="00C6300A">
        <w:rPr>
          <w:rFonts w:ascii="Times New Roman" w:hAnsi="Times New Roman" w:cs="Times New Roman"/>
          <w:sz w:val="28"/>
          <w:szCs w:val="28"/>
        </w:rPr>
        <w:tab/>
      </w:r>
      <w:r w:rsidRPr="00C6300A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C6300A">
        <w:rPr>
          <w:rFonts w:ascii="Times New Roman" w:hAnsi="Times New Roman" w:cs="Times New Roman"/>
          <w:sz w:val="28"/>
          <w:szCs w:val="28"/>
        </w:rPr>
        <w:tab/>
      </w:r>
      <w:r w:rsidRPr="00C6300A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C6300A">
        <w:rPr>
          <w:rFonts w:ascii="Times New Roman" w:hAnsi="Times New Roman" w:cs="Times New Roman"/>
          <w:sz w:val="28"/>
          <w:szCs w:val="28"/>
        </w:rPr>
        <w:tab/>
        <w:t xml:space="preserve">              А.В. Неклюдов </w:t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Приложение к решению Собрания депутатов </w:t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Пластовского муниципального района</w:t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от «</w:t>
      </w:r>
      <w:r w:rsidRPr="00C6300A">
        <w:rPr>
          <w:rFonts w:ascii="Times New Roman" w:hAnsi="Times New Roman" w:cs="Times New Roman"/>
          <w:sz w:val="28"/>
          <w:szCs w:val="28"/>
          <w:u w:val="single"/>
        </w:rPr>
        <w:t xml:space="preserve">   31   </w:t>
      </w:r>
      <w:r w:rsidRPr="00C6300A">
        <w:rPr>
          <w:rFonts w:ascii="Times New Roman" w:hAnsi="Times New Roman" w:cs="Times New Roman"/>
          <w:sz w:val="28"/>
          <w:szCs w:val="28"/>
        </w:rPr>
        <w:t>»</w:t>
      </w:r>
      <w:r w:rsidRPr="00C6300A">
        <w:rPr>
          <w:rFonts w:ascii="Times New Roman" w:hAnsi="Times New Roman" w:cs="Times New Roman"/>
          <w:sz w:val="28"/>
          <w:szCs w:val="28"/>
          <w:u w:val="single"/>
        </w:rPr>
        <w:t xml:space="preserve">            10           </w:t>
      </w:r>
      <w:r w:rsidRPr="00C6300A">
        <w:rPr>
          <w:rFonts w:ascii="Times New Roman" w:hAnsi="Times New Roman" w:cs="Times New Roman"/>
          <w:sz w:val="28"/>
          <w:szCs w:val="28"/>
        </w:rPr>
        <w:t>2019 г. №</w:t>
      </w:r>
      <w:r w:rsidRPr="00C6300A">
        <w:rPr>
          <w:rFonts w:ascii="Times New Roman" w:hAnsi="Times New Roman" w:cs="Times New Roman"/>
          <w:sz w:val="28"/>
          <w:szCs w:val="28"/>
          <w:u w:val="single"/>
        </w:rPr>
        <w:t xml:space="preserve"> 107</w:t>
      </w:r>
    </w:p>
    <w:p w:rsidR="00C6300A" w:rsidRPr="00C6300A" w:rsidRDefault="00C6300A" w:rsidP="00C6300A">
      <w:pPr>
        <w:pStyle w:val="a6"/>
        <w:spacing w:after="0"/>
        <w:ind w:firstLine="851"/>
        <w:rPr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851"/>
        <w:rPr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851"/>
        <w:rPr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sz w:val="28"/>
          <w:szCs w:val="28"/>
        </w:rPr>
      </w:pPr>
      <w:r w:rsidRPr="00C6300A">
        <w:rPr>
          <w:sz w:val="28"/>
          <w:szCs w:val="28"/>
        </w:rPr>
        <w:t>Администрация Пластовского муниципального района</w:t>
      </w:r>
    </w:p>
    <w:p w:rsidR="00C6300A" w:rsidRPr="00C6300A" w:rsidRDefault="00C6300A" w:rsidP="00C6300A">
      <w:pPr>
        <w:pStyle w:val="a6"/>
        <w:spacing w:after="0"/>
        <w:ind w:firstLine="851"/>
        <w:rPr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4536"/>
        <w:rPr>
          <w:sz w:val="28"/>
          <w:szCs w:val="28"/>
        </w:rPr>
      </w:pPr>
      <w:r w:rsidRPr="00C6300A">
        <w:rPr>
          <w:noProof/>
          <w:lang w:eastAsia="ru-RU"/>
        </w:rPr>
        <w:drawing>
          <wp:inline distT="0" distB="0" distL="0" distR="0">
            <wp:extent cx="933450" cy="1190625"/>
            <wp:effectExtent l="19050" t="0" r="0" b="0"/>
            <wp:docPr id="2" name="Рисунок 1" descr="Описание: http://www.heraldicum.ru/russia/subjects/towns/images/pl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towns/images/plas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pStyle w:val="a6"/>
        <w:spacing w:after="0"/>
        <w:ind w:firstLine="851"/>
      </w:pPr>
    </w:p>
    <w:p w:rsidR="00C6300A" w:rsidRPr="00C6300A" w:rsidRDefault="00C6300A" w:rsidP="00C6300A">
      <w:pPr>
        <w:pStyle w:val="a6"/>
        <w:spacing w:after="0"/>
        <w:ind w:firstLine="851"/>
      </w:pPr>
    </w:p>
    <w:p w:rsidR="00C6300A" w:rsidRPr="00C6300A" w:rsidRDefault="00C6300A" w:rsidP="00C6300A">
      <w:pPr>
        <w:pStyle w:val="a6"/>
        <w:spacing w:after="0"/>
        <w:ind w:firstLine="851"/>
      </w:pPr>
    </w:p>
    <w:p w:rsidR="00C6300A" w:rsidRPr="00C6300A" w:rsidRDefault="00C6300A" w:rsidP="00C6300A">
      <w:pPr>
        <w:pStyle w:val="a6"/>
        <w:spacing w:after="0"/>
        <w:ind w:firstLine="851"/>
      </w:pPr>
    </w:p>
    <w:p w:rsidR="00C6300A" w:rsidRPr="00C6300A" w:rsidRDefault="00C6300A" w:rsidP="00C6300A">
      <w:pPr>
        <w:pStyle w:val="a6"/>
        <w:spacing w:after="0"/>
        <w:ind w:firstLine="851"/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40"/>
          <w:szCs w:val="40"/>
        </w:rPr>
      </w:pPr>
      <w:r w:rsidRPr="00C6300A">
        <w:rPr>
          <w:b/>
          <w:sz w:val="40"/>
          <w:szCs w:val="40"/>
        </w:rPr>
        <w:t>СТРАТЕГИЯ</w:t>
      </w: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  <w:r w:rsidRPr="00C6300A">
        <w:rPr>
          <w:b/>
          <w:sz w:val="32"/>
          <w:szCs w:val="32"/>
        </w:rPr>
        <w:t>СОЦИАЛЬНО-ЭКОНОМИЧЕСКОГО РАЗВИТИЯ</w:t>
      </w: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  <w:r w:rsidRPr="00C6300A">
        <w:rPr>
          <w:b/>
          <w:sz w:val="32"/>
          <w:szCs w:val="32"/>
        </w:rPr>
        <w:t>ПЛАСТОВСКОГО МУНИЦИПАЛЬНОГО РАЙОНА</w:t>
      </w: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  <w:r w:rsidRPr="00C6300A">
        <w:rPr>
          <w:b/>
          <w:sz w:val="32"/>
          <w:szCs w:val="32"/>
        </w:rPr>
        <w:t>ДО 2035 ГОДА</w:t>
      </w: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32"/>
          <w:szCs w:val="32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28"/>
          <w:szCs w:val="28"/>
        </w:rPr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28"/>
          <w:szCs w:val="28"/>
        </w:rPr>
      </w:pPr>
      <w:r w:rsidRPr="00C6300A">
        <w:rPr>
          <w:b/>
          <w:sz w:val="28"/>
          <w:szCs w:val="28"/>
        </w:rPr>
        <w:t>г. Пласт</w:t>
      </w:r>
    </w:p>
    <w:p w:rsidR="00C6300A" w:rsidRDefault="00C6300A" w:rsidP="00C6300A">
      <w:pPr>
        <w:pStyle w:val="a6"/>
        <w:spacing w:after="0"/>
        <w:ind w:firstLine="851"/>
        <w:jc w:val="center"/>
      </w:pPr>
      <w:r w:rsidRPr="00C6300A">
        <w:rPr>
          <w:noProof/>
          <w:lang w:eastAsia="ru-RU"/>
        </w:rPr>
        <w:pict>
          <v:rect id="_x0000_s1027" style="position:absolute;left:0;text-align:left;margin-left:489.7pt;margin-top:17.4pt;width:7.15pt;height:22.5pt;z-index:251661312" strokecolor="white" strokeweight="1pt">
            <v:stroke dashstyle="dash"/>
            <v:shadow color="#868686"/>
          </v:rect>
        </w:pict>
      </w:r>
      <w:r w:rsidRPr="00C6300A">
        <w:t>2019 г.</w:t>
      </w: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Default="00C6300A" w:rsidP="00C6300A">
      <w:pPr>
        <w:pStyle w:val="a6"/>
        <w:spacing w:after="0"/>
        <w:ind w:firstLine="851"/>
        <w:jc w:val="center"/>
      </w:pPr>
    </w:p>
    <w:p w:rsidR="00C6300A" w:rsidRPr="00C6300A" w:rsidRDefault="00C6300A" w:rsidP="00C6300A">
      <w:pPr>
        <w:pStyle w:val="a6"/>
        <w:spacing w:after="0"/>
        <w:ind w:firstLine="851"/>
        <w:jc w:val="center"/>
        <w:rPr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                   </w:t>
      </w:r>
      <w:r w:rsidRPr="00C6300A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C6300A" w:rsidRPr="00C6300A" w:rsidRDefault="00C6300A" w:rsidP="00C6300A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pStyle w:val="1"/>
        <w:tabs>
          <w:tab w:val="right" w:leader="dot" w:pos="9923"/>
        </w:tabs>
        <w:spacing w:after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b/>
          <w:bCs/>
          <w:sz w:val="24"/>
          <w:szCs w:val="24"/>
        </w:rPr>
        <w:t>ВВЕДЕНИЕ</w:t>
      </w:r>
      <w:r w:rsidRPr="00C6300A">
        <w:rPr>
          <w:rFonts w:ascii="Times New Roman" w:hAnsi="Times New Roman"/>
          <w:b/>
          <w:bCs/>
          <w:sz w:val="24"/>
          <w:szCs w:val="24"/>
        </w:rPr>
        <w:tab/>
        <w:t>4</w:t>
      </w:r>
    </w:p>
    <w:p w:rsidR="00C6300A" w:rsidRPr="00C6300A" w:rsidRDefault="00C6300A" w:rsidP="00C6300A">
      <w:pPr>
        <w:pStyle w:val="1"/>
        <w:tabs>
          <w:tab w:val="right" w:leader="dot" w:pos="9923"/>
        </w:tabs>
        <w:spacing w:after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C6300A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C6300A">
        <w:rPr>
          <w:rFonts w:ascii="Times New Roman" w:hAnsi="Times New Roman"/>
          <w:b/>
          <w:bCs/>
          <w:sz w:val="24"/>
          <w:szCs w:val="24"/>
        </w:rPr>
        <w:t>. ХАРАКТЕРИСТИКА СОЦИАЛЬНО-ЭКОНОМИЧЕСКОГО ПОТЕНЦИАЛА ПЛАСТОВСКОГО МУНИЦИПАЛЬНОГО РАЙОНА</w:t>
      </w:r>
      <w:r w:rsidRPr="00C6300A">
        <w:rPr>
          <w:rFonts w:ascii="Times New Roman" w:hAnsi="Times New Roman"/>
          <w:b/>
          <w:bCs/>
          <w:sz w:val="24"/>
          <w:szCs w:val="24"/>
        </w:rPr>
        <w:tab/>
        <w:t>8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1. ПРИРОДНО-РЕСУРСНЫЙ ПОТЕНЦИАЛ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8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300A">
        <w:rPr>
          <w:rFonts w:ascii="Times New Roman" w:hAnsi="Times New Roman"/>
          <w:sz w:val="24"/>
          <w:szCs w:val="24"/>
        </w:rPr>
        <w:t>Природно</w:t>
      </w:r>
      <w:proofErr w:type="spellEnd"/>
      <w:r w:rsidRPr="00C6300A">
        <w:rPr>
          <w:rFonts w:ascii="Times New Roman" w:hAnsi="Times New Roman"/>
          <w:sz w:val="24"/>
          <w:szCs w:val="24"/>
        </w:rPr>
        <w:t>- климатические</w:t>
      </w:r>
      <w:proofErr w:type="gramEnd"/>
      <w:r w:rsidRPr="00C6300A">
        <w:rPr>
          <w:rFonts w:ascii="Times New Roman" w:hAnsi="Times New Roman"/>
          <w:sz w:val="24"/>
          <w:szCs w:val="24"/>
        </w:rPr>
        <w:t xml:space="preserve"> условия</w:t>
      </w:r>
      <w:r w:rsidRPr="00C6300A">
        <w:rPr>
          <w:rFonts w:ascii="Times New Roman" w:hAnsi="Times New Roman"/>
          <w:sz w:val="24"/>
          <w:szCs w:val="24"/>
        </w:rPr>
        <w:tab/>
        <w:t>8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Минерально-сырьевая база</w:t>
      </w:r>
      <w:r w:rsidRPr="00C6300A">
        <w:rPr>
          <w:rFonts w:ascii="Times New Roman" w:hAnsi="Times New Roman"/>
          <w:sz w:val="24"/>
          <w:szCs w:val="24"/>
        </w:rPr>
        <w:tab/>
        <w:t>8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Земельные ресурсы</w:t>
      </w:r>
      <w:r w:rsidRPr="00C6300A">
        <w:rPr>
          <w:rFonts w:ascii="Times New Roman" w:hAnsi="Times New Roman"/>
          <w:sz w:val="24"/>
          <w:szCs w:val="24"/>
        </w:rPr>
        <w:tab/>
        <w:t>9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Ландшафтные условия и водные ресурсы</w:t>
      </w:r>
      <w:r w:rsidRPr="00C6300A">
        <w:rPr>
          <w:rFonts w:ascii="Times New Roman" w:hAnsi="Times New Roman"/>
          <w:sz w:val="24"/>
          <w:szCs w:val="24"/>
        </w:rPr>
        <w:tab/>
        <w:t>9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Лесные ресурсы</w:t>
      </w:r>
      <w:r w:rsidRPr="00C6300A">
        <w:rPr>
          <w:rFonts w:ascii="Times New Roman" w:hAnsi="Times New Roman"/>
          <w:sz w:val="24"/>
          <w:szCs w:val="24"/>
        </w:rPr>
        <w:tab/>
        <w:t>10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Туристические ресурсы</w:t>
      </w:r>
      <w:r w:rsidRPr="00C6300A">
        <w:rPr>
          <w:rFonts w:ascii="Times New Roman" w:hAnsi="Times New Roman"/>
          <w:sz w:val="24"/>
          <w:szCs w:val="24"/>
        </w:rPr>
        <w:tab/>
        <w:t>10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2. ДЕМОГРАФИЧЕСКАЯ СИТУАЦИЯ И ПОТЕНЦИАЛ ТРУДОВЫХ РЕСУРСОВ</w:t>
      </w:r>
      <w:r w:rsidRPr="00C6300A">
        <w:rPr>
          <w:rFonts w:ascii="Times New Roman" w:hAnsi="Times New Roman"/>
          <w:sz w:val="24"/>
          <w:szCs w:val="24"/>
        </w:rPr>
        <w:tab/>
        <w:t>12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3. ЭКОНОМИЧЕСКИЙ ПОТЕНЦИАЛ</w:t>
      </w:r>
      <w:r w:rsidRPr="00C6300A">
        <w:rPr>
          <w:rFonts w:ascii="Times New Roman" w:hAnsi="Times New Roman"/>
          <w:sz w:val="24"/>
          <w:szCs w:val="24"/>
        </w:rPr>
        <w:tab/>
        <w:t>16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Промышленное производство</w:t>
      </w:r>
      <w:r w:rsidRPr="00C6300A">
        <w:rPr>
          <w:rFonts w:ascii="Times New Roman" w:hAnsi="Times New Roman"/>
          <w:sz w:val="24"/>
          <w:szCs w:val="24"/>
        </w:rPr>
        <w:tab/>
        <w:t>16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Объем инвестиций</w:t>
      </w:r>
      <w:r w:rsidRPr="00C6300A">
        <w:rPr>
          <w:rFonts w:ascii="Times New Roman" w:hAnsi="Times New Roman"/>
          <w:sz w:val="24"/>
          <w:szCs w:val="24"/>
        </w:rPr>
        <w:tab/>
        <w:t>21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Строительство</w:t>
      </w:r>
      <w:r w:rsidRPr="00C6300A">
        <w:rPr>
          <w:rFonts w:ascii="Times New Roman" w:hAnsi="Times New Roman"/>
          <w:sz w:val="24"/>
          <w:szCs w:val="24"/>
        </w:rPr>
        <w:tab/>
        <w:t>21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Сельское хозяйство</w:t>
      </w:r>
      <w:r w:rsidRPr="00C6300A">
        <w:rPr>
          <w:rFonts w:ascii="Times New Roman" w:hAnsi="Times New Roman"/>
          <w:sz w:val="24"/>
          <w:szCs w:val="24"/>
        </w:rPr>
        <w:tab/>
        <w:t>23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Малый бизнес</w:t>
      </w:r>
      <w:r w:rsidRPr="00C6300A">
        <w:rPr>
          <w:rFonts w:ascii="Times New Roman" w:hAnsi="Times New Roman"/>
          <w:sz w:val="24"/>
          <w:szCs w:val="24"/>
        </w:rPr>
        <w:tab/>
        <w:t>24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Потребительский рынок</w:t>
      </w:r>
      <w:r w:rsidRPr="00C6300A">
        <w:rPr>
          <w:rFonts w:ascii="Times New Roman" w:hAnsi="Times New Roman"/>
          <w:sz w:val="24"/>
          <w:szCs w:val="24"/>
        </w:rPr>
        <w:tab/>
        <w:t>25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4. УРОВЕНЬ РАЗВИТИЯ ИНФРАСТРУКТУРЫ</w:t>
      </w:r>
      <w:r w:rsidRPr="00C6300A">
        <w:rPr>
          <w:rFonts w:ascii="Times New Roman" w:hAnsi="Times New Roman"/>
          <w:sz w:val="24"/>
          <w:szCs w:val="24"/>
        </w:rPr>
        <w:tab/>
        <w:t>28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Транспортная инфраструктура</w:t>
      </w:r>
      <w:r w:rsidRPr="00C6300A">
        <w:rPr>
          <w:rFonts w:ascii="Times New Roman" w:hAnsi="Times New Roman"/>
          <w:sz w:val="24"/>
          <w:szCs w:val="24"/>
        </w:rPr>
        <w:tab/>
        <w:t>28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Энергетический комплекс</w:t>
      </w:r>
      <w:r w:rsidRPr="00C6300A">
        <w:rPr>
          <w:rFonts w:ascii="Times New Roman" w:hAnsi="Times New Roman"/>
          <w:sz w:val="24"/>
          <w:szCs w:val="24"/>
        </w:rPr>
        <w:tab/>
        <w:t>31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Информационно-коммуникационная инфраструктура</w:t>
      </w:r>
      <w:r w:rsidRPr="00C6300A">
        <w:rPr>
          <w:rFonts w:ascii="Times New Roman" w:hAnsi="Times New Roman"/>
          <w:sz w:val="24"/>
          <w:szCs w:val="24"/>
        </w:rPr>
        <w:tab/>
        <w:t>31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5. ЖИЛИЩНОЕ ХОЗЯЙСТВО</w:t>
      </w:r>
      <w:r w:rsidRPr="00C6300A">
        <w:rPr>
          <w:rFonts w:ascii="Times New Roman" w:hAnsi="Times New Roman"/>
          <w:sz w:val="24"/>
          <w:szCs w:val="24"/>
        </w:rPr>
        <w:tab/>
        <w:t>32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6. УРОВЕНЬ РАЗВИТИЯ СОЦИАЛЬНОЙ ИНФРАСТРУКТУРЫ</w:t>
      </w:r>
      <w:r w:rsidRPr="00C6300A">
        <w:rPr>
          <w:rFonts w:ascii="Times New Roman" w:hAnsi="Times New Roman"/>
          <w:sz w:val="24"/>
          <w:szCs w:val="24"/>
        </w:rPr>
        <w:tab/>
        <w:t>34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Образование </w:t>
      </w:r>
      <w:r w:rsidRPr="00C6300A">
        <w:rPr>
          <w:rFonts w:ascii="Times New Roman" w:hAnsi="Times New Roman"/>
          <w:sz w:val="24"/>
          <w:szCs w:val="24"/>
        </w:rPr>
        <w:tab/>
        <w:t>34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Социальное обеспечение </w:t>
      </w:r>
      <w:r w:rsidRPr="00C6300A">
        <w:rPr>
          <w:rFonts w:ascii="Times New Roman" w:hAnsi="Times New Roman"/>
          <w:sz w:val="24"/>
          <w:szCs w:val="24"/>
        </w:rPr>
        <w:tab/>
        <w:t>37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Здравоохранение </w:t>
      </w:r>
      <w:r w:rsidRPr="00C6300A">
        <w:rPr>
          <w:rFonts w:ascii="Times New Roman" w:hAnsi="Times New Roman"/>
          <w:sz w:val="24"/>
          <w:szCs w:val="24"/>
        </w:rPr>
        <w:tab/>
        <w:t>39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Физическая культура и спорт</w:t>
      </w:r>
      <w:r w:rsidRPr="00C6300A">
        <w:rPr>
          <w:rFonts w:ascii="Times New Roman" w:hAnsi="Times New Roman"/>
          <w:sz w:val="24"/>
          <w:szCs w:val="24"/>
        </w:rPr>
        <w:tab/>
        <w:t>40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Культура </w:t>
      </w:r>
      <w:r w:rsidRPr="00C6300A">
        <w:rPr>
          <w:rFonts w:ascii="Times New Roman" w:hAnsi="Times New Roman"/>
          <w:sz w:val="24"/>
          <w:szCs w:val="24"/>
        </w:rPr>
        <w:tab/>
        <w:t>41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7. УРОВЕНЬ ЖИЗНИ НАСЕЛЕНИЯ</w:t>
      </w:r>
      <w:r w:rsidRPr="00C6300A">
        <w:rPr>
          <w:rFonts w:ascii="Times New Roman" w:hAnsi="Times New Roman"/>
          <w:sz w:val="24"/>
          <w:szCs w:val="24"/>
        </w:rPr>
        <w:tab/>
        <w:t>44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8. БЮДЖЕТНЫЙ И НАЛОГОВЫЙ ПОТЕНЦИАЛ</w:t>
      </w:r>
      <w:r w:rsidRPr="00C6300A">
        <w:rPr>
          <w:rFonts w:ascii="Times New Roman" w:hAnsi="Times New Roman"/>
          <w:sz w:val="24"/>
          <w:szCs w:val="24"/>
        </w:rPr>
        <w:tab/>
        <w:t>45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9. МУНИЦИПАЛЬНАЯ СОБСТВЕННОСТЬ</w:t>
      </w:r>
      <w:r w:rsidRPr="00C6300A">
        <w:rPr>
          <w:rFonts w:ascii="Times New Roman" w:hAnsi="Times New Roman"/>
          <w:sz w:val="24"/>
          <w:szCs w:val="24"/>
        </w:rPr>
        <w:tab/>
        <w:t>47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10. РЕЙТИНГОВАЯ ОЦЕНКА УРОВНЯ СОЦИАЛЬНО-ЭКОНОМИЧЕСКОГО РАЗВИТИЯ</w:t>
      </w:r>
      <w:r w:rsidRPr="00C6300A">
        <w:rPr>
          <w:rFonts w:ascii="Times New Roman" w:hAnsi="Times New Roman"/>
          <w:sz w:val="24"/>
          <w:szCs w:val="24"/>
        </w:rPr>
        <w:tab/>
        <w:t>49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11. СОСТОЯНИЕ ИНСТИТУТОВ ГРАЖДАНСКОГО ОБЩЕСТВА</w:t>
      </w:r>
      <w:r w:rsidRPr="00C6300A">
        <w:rPr>
          <w:rFonts w:ascii="Times New Roman" w:hAnsi="Times New Roman"/>
          <w:sz w:val="24"/>
          <w:szCs w:val="24"/>
        </w:rPr>
        <w:tab/>
        <w:t>50</w:t>
      </w:r>
    </w:p>
    <w:p w:rsidR="00C6300A" w:rsidRPr="00C6300A" w:rsidRDefault="00C6300A" w:rsidP="00C6300A">
      <w:pPr>
        <w:pStyle w:val="1"/>
        <w:tabs>
          <w:tab w:val="right" w:leader="dot" w:pos="992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C6300A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C6300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6300A">
        <w:rPr>
          <w:rFonts w:ascii="Times New Roman" w:hAnsi="Times New Roman"/>
          <w:b/>
          <w:bCs/>
          <w:sz w:val="24"/>
          <w:szCs w:val="24"/>
          <w:lang w:val="en-US"/>
        </w:rPr>
        <w:t>SWOT</w:t>
      </w:r>
      <w:r w:rsidRPr="00C6300A">
        <w:rPr>
          <w:rFonts w:ascii="Times New Roman" w:hAnsi="Times New Roman"/>
          <w:b/>
          <w:bCs/>
          <w:sz w:val="24"/>
          <w:szCs w:val="24"/>
        </w:rPr>
        <w:t>-АНАЛИЗ. ПЕРСПЕКТИВЫ РАЗВИТИЯ ПЛАСТОВСКОГО МУНИЦИПАЛЬНОГО РАЙОНА</w:t>
      </w:r>
      <w:r w:rsidRPr="00C6300A">
        <w:rPr>
          <w:rFonts w:ascii="Times New Roman" w:hAnsi="Times New Roman"/>
          <w:b/>
          <w:bCs/>
          <w:sz w:val="24"/>
          <w:szCs w:val="24"/>
        </w:rPr>
        <w:tab/>
        <w:t>52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ГЛАВА 1. </w:t>
      </w:r>
      <w:r w:rsidRPr="00C6300A">
        <w:rPr>
          <w:rFonts w:ascii="Times New Roman" w:hAnsi="Times New Roman"/>
          <w:sz w:val="24"/>
          <w:szCs w:val="24"/>
          <w:lang w:val="en-US"/>
        </w:rPr>
        <w:t>SWOT</w:t>
      </w:r>
      <w:r w:rsidRPr="00C6300A">
        <w:rPr>
          <w:rFonts w:ascii="Times New Roman" w:hAnsi="Times New Roman"/>
          <w:sz w:val="24"/>
          <w:szCs w:val="24"/>
        </w:rPr>
        <w:t>-АНАЛИЗ СОЦИАЛЬНО-ЭКОНОМИЧЕСКОГО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52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2. ПЕРСПЕКТИВЫ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63</w:t>
      </w:r>
    </w:p>
    <w:p w:rsidR="00C6300A" w:rsidRPr="00C6300A" w:rsidRDefault="00C6300A" w:rsidP="00C6300A">
      <w:pPr>
        <w:pStyle w:val="1"/>
        <w:tabs>
          <w:tab w:val="right" w:leader="dot" w:pos="992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C6300A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C6300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6300A">
        <w:rPr>
          <w:rFonts w:ascii="Times New Roman" w:hAnsi="Times New Roman"/>
          <w:b/>
          <w:sz w:val="24"/>
          <w:szCs w:val="24"/>
        </w:rPr>
        <w:t>СТРАТЕГИЯ СОЦИАЛЬНО-ЭКОНОМИЧЕСКОГО РАЗВИТИЯ ПЛАСТОВСКОГО МУНИЦИПАЛЬНОГО РАЙОНА ДО 2035 ГОДА</w:t>
      </w:r>
      <w:r w:rsidRPr="00C6300A">
        <w:rPr>
          <w:rFonts w:ascii="Times New Roman" w:hAnsi="Times New Roman"/>
          <w:b/>
          <w:bCs/>
          <w:sz w:val="24"/>
          <w:szCs w:val="24"/>
        </w:rPr>
        <w:tab/>
        <w:t>66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1. ОСНОВА РАЗРАБОТКИ СТРАТЕГИИ</w:t>
      </w:r>
      <w:r w:rsidRPr="00C6300A">
        <w:rPr>
          <w:rFonts w:ascii="Times New Roman" w:hAnsi="Times New Roman"/>
          <w:sz w:val="24"/>
          <w:szCs w:val="24"/>
        </w:rPr>
        <w:tab/>
        <w:t>66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lastRenderedPageBreak/>
        <w:t>ГЛАВА 2. ЦЕЛЬ СТРАТЕГИИ</w:t>
      </w:r>
      <w:r w:rsidRPr="00C6300A">
        <w:rPr>
          <w:rFonts w:ascii="Times New Roman" w:hAnsi="Times New Roman"/>
          <w:sz w:val="24"/>
          <w:szCs w:val="24"/>
        </w:rPr>
        <w:tab/>
        <w:t>67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3. ВЫБОР СЦЕНАРИЯ СОЦИАЛЬНО-ЭКОНОМИЧЕСКОГО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68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4. ПРИОРИТЕТНЫЕ НАПРАВЛЕНИЯ ДЕЯТЕЛЬНОСТИ ОРГАНОВ МЕСТНОГО САМОУПРАВЛЕНИЯ ПРИ РЕАЛИЗАЦИИ СТРАТЕГИИ СОЦИАЛЬНО-ЭКОНОМИЧЕСКОГО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70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5. ОСНОВНЫЕ НАПРАВЛЕНИЯ И ЗАДАЧИ ДОСТИЖЕНИЯ СТРАТЕГИЧЕСКОЙ ЦЕЛИ СОЦИАЛЬНО-ЭКОНОМИЧЕСКОГО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71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Развитие экономики Пластовского муниципального района </w:t>
      </w:r>
      <w:r w:rsidRPr="00C6300A">
        <w:rPr>
          <w:rFonts w:ascii="Times New Roman" w:hAnsi="Times New Roman"/>
          <w:sz w:val="24"/>
          <w:szCs w:val="24"/>
        </w:rPr>
        <w:tab/>
        <w:t>73</w:t>
      </w:r>
    </w:p>
    <w:p w:rsidR="00C6300A" w:rsidRPr="00C6300A" w:rsidRDefault="00C6300A" w:rsidP="00C6300A">
      <w:pPr>
        <w:pStyle w:val="3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Развитие социальной сферы Пластовского муниципального района </w:t>
      </w:r>
      <w:r w:rsidRPr="00C6300A">
        <w:rPr>
          <w:rFonts w:ascii="Times New Roman" w:hAnsi="Times New Roman"/>
          <w:sz w:val="24"/>
          <w:szCs w:val="24"/>
        </w:rPr>
        <w:tab/>
        <w:t>76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6. ПОКАЗАТЕЛИ ДОСТИЖЕНИЯ ЦЕЛЕЙ СОЦИАЛЬНО-ЭКОНОМИЧЕСКОГО РАЗВИТИЯ РАЙОНА, СРОКИ И ЭТАПЫ РЕАЛИЗАЦИИ СТРАТЕГИИ 2035</w:t>
      </w:r>
      <w:r w:rsidRPr="00C6300A">
        <w:rPr>
          <w:rFonts w:ascii="Times New Roman" w:hAnsi="Times New Roman"/>
          <w:sz w:val="24"/>
          <w:szCs w:val="24"/>
        </w:rPr>
        <w:tab/>
        <w:t>90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7. ОЖИДАЕМЫЕ РЕЗУЛЬТАТЫ РЕАЛИЗАЦИИ ОСНОВНОГО ВАРИАНТА СТРАТЕГИИ СОЦИАЛЬНО-ЭКОНОМИЧЕСКОГО РАЗВИТИЯ ПЛАСТОВСКОГО МУНИЦИПАЛЬНОГО РАЙОНА В 2035 ГОДУ</w:t>
      </w:r>
      <w:r w:rsidRPr="00C6300A">
        <w:rPr>
          <w:rFonts w:ascii="Times New Roman" w:hAnsi="Times New Roman"/>
          <w:sz w:val="24"/>
          <w:szCs w:val="24"/>
        </w:rPr>
        <w:tab/>
        <w:t>94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>ГЛАВА 8. МЕХАНИЗМ РЕАЛИЗАЦИИ СТРАТЕГИИ СОЦИАЛЬНО-ЭКОНОМИЧЕСКОГО РАЗВИТИЯ ПЛАСТОВСКОГО МУНИЦИПАЛЬНОГО РАЙОНА</w:t>
      </w:r>
      <w:r w:rsidRPr="00C6300A">
        <w:rPr>
          <w:rFonts w:ascii="Times New Roman" w:hAnsi="Times New Roman"/>
          <w:sz w:val="24"/>
          <w:szCs w:val="24"/>
        </w:rPr>
        <w:tab/>
        <w:t>95</w:t>
      </w:r>
    </w:p>
    <w:p w:rsidR="00C6300A" w:rsidRPr="00C6300A" w:rsidRDefault="00C6300A" w:rsidP="00C6300A">
      <w:pPr>
        <w:pStyle w:val="2"/>
        <w:spacing w:after="0"/>
        <w:ind w:left="0"/>
        <w:rPr>
          <w:rFonts w:ascii="Times New Roman" w:hAnsi="Times New Roman"/>
          <w:sz w:val="24"/>
          <w:szCs w:val="24"/>
        </w:rPr>
      </w:pPr>
      <w:r w:rsidRPr="00C6300A">
        <w:rPr>
          <w:rFonts w:ascii="Times New Roman" w:hAnsi="Times New Roman"/>
          <w:sz w:val="24"/>
          <w:szCs w:val="24"/>
        </w:rPr>
        <w:t xml:space="preserve">ГЛАВА 9. </w:t>
      </w:r>
      <w:proofErr w:type="gramStart"/>
      <w:r w:rsidRPr="00C6300A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C6300A">
        <w:rPr>
          <w:rFonts w:ascii="Times New Roman" w:hAnsi="Times New Roman"/>
          <w:sz w:val="24"/>
          <w:szCs w:val="24"/>
        </w:rPr>
        <w:t xml:space="preserve"> РЕАЛИЗАЦИЕЙ СТРАТЕГИИ СОЦИАЛЬНО-ЭКОНОМИЧЕСКОГО РАЗВИТИЯ ПЛАСТОВСКОГО МУНИЦИПАЛЬНОГО РАЙОНА </w:t>
      </w:r>
      <w:r w:rsidRPr="00C6300A">
        <w:rPr>
          <w:rFonts w:ascii="Times New Roman" w:hAnsi="Times New Roman"/>
          <w:sz w:val="24"/>
          <w:szCs w:val="24"/>
        </w:rPr>
        <w:tab/>
        <w:t>103</w:t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sz w:val="26"/>
          <w:szCs w:val="26"/>
        </w:rPr>
        <w:sectPr w:rsidR="00C6300A" w:rsidRPr="00C6300A" w:rsidSect="00F8383C">
          <w:headerReference w:type="even" r:id="rId7"/>
          <w:footerReference w:type="even" r:id="rId8"/>
          <w:footerReference w:type="default" r:id="rId9"/>
          <w:footnotePr>
            <w:pos w:val="beneathText"/>
          </w:footnotePr>
          <w:pgSz w:w="11905" w:h="16837"/>
          <w:pgMar w:top="993" w:right="706" w:bottom="284" w:left="1276" w:header="720" w:footer="720" w:gutter="0"/>
          <w:pgNumType w:start="0"/>
          <w:cols w:space="720"/>
          <w:titlePg/>
          <w:docGrid w:linePitch="360"/>
        </w:sect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6300A" w:rsidRPr="00C6300A" w:rsidRDefault="00C6300A" w:rsidP="00C6300A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Основной целью разработки и реализации Стратегии социально - экономического развития Пластовского муниципального района до 2035 года (далее - стратегия) является повышение уровня и качества жизни населения муниципального района, формирование благоприятных условий социально-экономического развития района на долгосрочную перспективу.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Необходимыми составляющими полноценной и достойной жизни каждого человека, являются материальное благосостояние, комфортные условия жизни и возможность самореализации - деятельного проявления своего творческого, интеллектуального, духовного потенциала себя, как личности. Таким образом, приоритетами социального развития, обеспечивающими всестороннее развитие человека и приумножение человеческого капитала, являются три социальных приоритета - самореализация, благосостояние, комфортная среда.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Реализация данных приоритетов путем повышения уровня материального благосостояния, улучшения состояния здоровья, расширения доступности образования, возможностей для духовного и физического развития личности, доступности жилья и комфортных условий проживания, улучшения качества окружающей среды обеспечит постоянное и устойчивое повышение качества жизни населения Пластовского муниципального района (далее – муниципальный район).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Поскольку основой жизнеобеспечения человека служит экономика, то источником </w:t>
      </w:r>
      <w:r w:rsidRPr="00C6300A">
        <w:rPr>
          <w:rFonts w:ascii="Times New Roman" w:hAnsi="Times New Roman" w:cs="Times New Roman"/>
          <w:spacing w:val="-1"/>
          <w:sz w:val="28"/>
          <w:szCs w:val="28"/>
        </w:rPr>
        <w:t xml:space="preserve">высокого качества жизни и наращивания человеческого капитала должно стать создание в </w:t>
      </w:r>
      <w:r w:rsidRPr="00C6300A">
        <w:rPr>
          <w:rFonts w:ascii="Times New Roman" w:hAnsi="Times New Roman" w:cs="Times New Roman"/>
          <w:sz w:val="28"/>
          <w:szCs w:val="28"/>
        </w:rPr>
        <w:t xml:space="preserve">муниципальном районе эффективной и социально-ориентированной экономики. В свою очередь, повышение качества жизни, наращивание человеческого капитала - важнейшие предпосылки экономического роста, интенсивного и инновационного типа, способного </w:t>
      </w:r>
      <w:r w:rsidRPr="00C6300A">
        <w:rPr>
          <w:rFonts w:ascii="Times New Roman" w:hAnsi="Times New Roman" w:cs="Times New Roman"/>
          <w:spacing w:val="-1"/>
          <w:sz w:val="28"/>
          <w:szCs w:val="28"/>
        </w:rPr>
        <w:t>обеспечить необходимую эффективность региональной экономики.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Приоритетами экономического развития муниципального района, учитывая конкурентные преимущества, потенциал развития и стратегическую значимость, в предстоящие годы станут следующие два:</w:t>
      </w:r>
    </w:p>
    <w:p w:rsidR="00C6300A" w:rsidRPr="00C6300A" w:rsidRDefault="00C6300A" w:rsidP="00C6300A">
      <w:pPr>
        <w:widowControl w:val="0"/>
        <w:numPr>
          <w:ilvl w:val="0"/>
          <w:numId w:val="3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базовых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бюджетообразующих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отраслей, обеспечивающих максимальный вклад в экономику муниципального района;</w:t>
      </w:r>
    </w:p>
    <w:p w:rsidR="00C6300A" w:rsidRPr="00C6300A" w:rsidRDefault="00C6300A" w:rsidP="00C6300A">
      <w:pPr>
        <w:widowControl w:val="0"/>
        <w:numPr>
          <w:ilvl w:val="0"/>
          <w:numId w:val="3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развитие новой экономики, основанной на достижениях современной науки, развитии инноваций и производстве продукции с высокой добавленной стоимостью.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Стратегия развития Пластовского муниципального района не является остановленным моментом его социально-экономического положения, а предполагает поступательное движение стратегического управления, в ходе которого идёт уточнение и корректировка действий под влиянием изменения факторов внутренней и внешней среды.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pacing w:val="-1"/>
          <w:sz w:val="28"/>
          <w:szCs w:val="28"/>
        </w:rPr>
        <w:t>Стратегия выполняет две важные функции:</w:t>
      </w:r>
    </w:p>
    <w:p w:rsidR="00C6300A" w:rsidRPr="00C6300A" w:rsidRDefault="00C6300A" w:rsidP="00C6300A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выбирает сценарий развития общества, с учетом имеющихся ресурсов и возможностей;</w:t>
      </w:r>
    </w:p>
    <w:p w:rsidR="00C6300A" w:rsidRPr="00C6300A" w:rsidRDefault="00C6300A" w:rsidP="00C6300A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устанавливает план действий, которые позволили бы реализовать выбранный сценарий.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Стратегия является фактором инвестиционной привлекательности района. Само наличие у района стратегического плана развития и инвестиционного паспорта зачастую благоприятно влияет на мнение потенциальных инвесторов о районе и таким образом, улучшает инвестиционный климат.</w:t>
      </w:r>
    </w:p>
    <w:p w:rsidR="00C6300A" w:rsidRPr="00C6300A" w:rsidRDefault="00C6300A" w:rsidP="00C6300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Основополагающими принципами формирования Стратегии 2035 являются:</w:t>
      </w:r>
    </w:p>
    <w:p w:rsidR="00C6300A" w:rsidRPr="00C6300A" w:rsidRDefault="00C6300A" w:rsidP="00C6300A">
      <w:pPr>
        <w:shd w:val="clear" w:color="auto" w:fill="FFFFFF"/>
        <w:tabs>
          <w:tab w:val="left" w:pos="917"/>
        </w:tabs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300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6300A">
        <w:rPr>
          <w:rFonts w:ascii="Times New Roman" w:hAnsi="Times New Roman" w:cs="Times New Roman"/>
          <w:sz w:val="28"/>
          <w:szCs w:val="28"/>
        </w:rPr>
        <w:t>обеспечение устойчивого социально-экономического развития муниципального района;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-формирование комплексного подхода к решению демографических, миграционных, социальных и экономических вопросов.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Стратегии 2035 скоординированы основные направления развития производственной и социальной инфраструктуры с учетом территориального распределения ресурсной базы, трудовых ресурсов и экономической интеграции. Стратегия 2035 разработана на основе:</w:t>
      </w:r>
    </w:p>
    <w:p w:rsidR="00C6300A" w:rsidRPr="00C6300A" w:rsidRDefault="00C6300A" w:rsidP="00C6300A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pacing w:val="-1"/>
          <w:sz w:val="28"/>
          <w:szCs w:val="28"/>
        </w:rPr>
        <w:t>стратегического анализа социально-экономического развития муниципального района;</w:t>
      </w:r>
    </w:p>
    <w:p w:rsidR="00C6300A" w:rsidRPr="00C6300A" w:rsidRDefault="00C6300A" w:rsidP="00C6300A">
      <w:pPr>
        <w:widowControl w:val="0"/>
        <w:numPr>
          <w:ilvl w:val="0"/>
          <w:numId w:val="6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определения устойчивых конкурентных преимуществ муниципального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>района и их оценки на среднесрочную и долгосрочную перспективы;</w:t>
      </w:r>
    </w:p>
    <w:p w:rsidR="00C6300A" w:rsidRPr="00C6300A" w:rsidRDefault="00C6300A" w:rsidP="00C6300A">
      <w:pPr>
        <w:widowControl w:val="0"/>
        <w:numPr>
          <w:ilvl w:val="0"/>
          <w:numId w:val="6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проведения анализа основных проблем социально- экономического развития района на средне- и долгосрочную перспективу;</w:t>
      </w:r>
    </w:p>
    <w:p w:rsidR="00C6300A" w:rsidRPr="00C6300A" w:rsidRDefault="00C6300A" w:rsidP="00C6300A">
      <w:pPr>
        <w:widowControl w:val="0"/>
        <w:numPr>
          <w:ilvl w:val="0"/>
          <w:numId w:val="6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анализа потенциала развития основных секторов экономики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C6300A">
        <w:rPr>
          <w:rFonts w:ascii="Times New Roman" w:hAnsi="Times New Roman" w:cs="Times New Roman"/>
          <w:spacing w:val="-1"/>
          <w:sz w:val="28"/>
          <w:szCs w:val="28"/>
        </w:rPr>
        <w:t xml:space="preserve"> на среднесрочную и долгосрочную перспективы;</w:t>
      </w:r>
    </w:p>
    <w:p w:rsidR="00C6300A" w:rsidRPr="00C6300A" w:rsidRDefault="00C6300A" w:rsidP="00C6300A">
      <w:pPr>
        <w:widowControl w:val="0"/>
        <w:numPr>
          <w:ilvl w:val="0"/>
          <w:numId w:val="6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разработки сценариев, определения приоритетных направлений и задач социально-экономического развития муниципального района;</w:t>
      </w:r>
    </w:p>
    <w:p w:rsidR="00C6300A" w:rsidRPr="00C6300A" w:rsidRDefault="00C6300A" w:rsidP="00C6300A">
      <w:pPr>
        <w:widowControl w:val="0"/>
        <w:numPr>
          <w:ilvl w:val="0"/>
          <w:numId w:val="6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определения приоритетных направлений деятельности органов местного самоуправления, предприятий и организаций муниципального района, ориентированных на достижение целевых параметров развития.</w:t>
      </w:r>
    </w:p>
    <w:p w:rsidR="00C6300A" w:rsidRPr="00C6300A" w:rsidRDefault="00C6300A" w:rsidP="00C6300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pacing w:val="-1"/>
          <w:sz w:val="28"/>
          <w:szCs w:val="28"/>
        </w:rPr>
        <w:t>При этом важно ещё раз подчеркнуть следующие моменты:</w:t>
      </w:r>
    </w:p>
    <w:p w:rsidR="00C6300A" w:rsidRPr="00C6300A" w:rsidRDefault="00C6300A" w:rsidP="00C6300A">
      <w:pPr>
        <w:shd w:val="clear" w:color="auto" w:fill="FFFFFF"/>
        <w:tabs>
          <w:tab w:val="left" w:pos="1205"/>
        </w:tabs>
        <w:spacing w:after="0" w:line="360" w:lineRule="auto"/>
        <w:ind w:firstLine="730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pacing w:val="-19"/>
          <w:sz w:val="28"/>
          <w:szCs w:val="28"/>
        </w:rPr>
        <w:t>1)</w:t>
      </w:r>
      <w:r w:rsidRPr="00C6300A">
        <w:rPr>
          <w:rFonts w:ascii="Times New Roman" w:hAnsi="Times New Roman" w:cs="Times New Roman"/>
          <w:sz w:val="28"/>
          <w:szCs w:val="28"/>
        </w:rPr>
        <w:tab/>
        <w:t>Стратегические направления не охватывают абсолютно всех сфер жизнедеятельности района. Они указывают на главное - на наиболее актуальные сферы развития муниципального района, способствующие достижению стратегической цели.</w:t>
      </w:r>
    </w:p>
    <w:p w:rsidR="00C6300A" w:rsidRPr="00C6300A" w:rsidRDefault="00C6300A" w:rsidP="00C6300A">
      <w:pPr>
        <w:shd w:val="clear" w:color="auto" w:fill="FFFFFF"/>
        <w:tabs>
          <w:tab w:val="left" w:pos="998"/>
        </w:tabs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pacing w:val="-7"/>
          <w:sz w:val="28"/>
          <w:szCs w:val="28"/>
        </w:rPr>
        <w:t>2)</w:t>
      </w:r>
      <w:r w:rsidRPr="00C6300A">
        <w:rPr>
          <w:rFonts w:ascii="Times New Roman" w:hAnsi="Times New Roman" w:cs="Times New Roman"/>
          <w:sz w:val="28"/>
          <w:szCs w:val="28"/>
        </w:rPr>
        <w:tab/>
        <w:t>Стратегические направления не являются автономными, независимыми друг от друга, а тесно переплетаются. Это единый комплекс действий, ориентированный на реализацию стратегической цели. Реализация мероприятий по каждому из направлений затрагивает и другие направления, и естественно, что и задачи многих стратегических направлений совпадают.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Пластовский муниципальный район – промышленный район, основной отраслью промышленности является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золотодобывающая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, удельный вес которой в общем объеме промышленной продукции составляет  97%.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Своим рождением и дальнейшим развитием город обязан месторождениям золота. Первый золотой прииск был открыт в 1845 году купцом второй гильдии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Бакакиным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П.Е., с этого времени начинается «золотая» история нашей земли. Постепенно поселки старателей вокруг каждого из приисков слились в один населенный пункт, который в 1919-1931 годах носил название Екатеринбургский сельсовет, а в 1931 году был переименован в поселок Пласт из-за открытой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пластообразной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залежи золотоносных песков. В 1940 году Пласт получил статус города.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lastRenderedPageBreak/>
        <w:t xml:space="preserve">В 2004 году муниципальное образование «Город Пласт» наделено статусом Пластовского муниципального района, к которому присоединилось Степнинское сельское поселение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Троицкого района.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На сегодняшний день Пластовский муниципальный район объединяет в своем составе следующие муниципальные образования:</w:t>
      </w:r>
    </w:p>
    <w:p w:rsidR="00C6300A" w:rsidRPr="00C6300A" w:rsidRDefault="00C6300A" w:rsidP="00C6300A">
      <w:pPr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Пластовское городское поселение с находящимся с ним в муниципальной связи хутором Пчельник; </w:t>
      </w:r>
    </w:p>
    <w:p w:rsidR="00C6300A" w:rsidRPr="00C6300A" w:rsidRDefault="00C6300A" w:rsidP="00C6300A">
      <w:pPr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Борисовское сельское поселение с населенными пунктами: село Борисовка, поселок Андреевский, село Верхняя Санарка, поселок Воронино, село Радиомайка, поселок Светлый;</w:t>
      </w:r>
    </w:p>
    <w:p w:rsidR="00C6300A" w:rsidRPr="00C6300A" w:rsidRDefault="00C6300A" w:rsidP="00C6300A">
      <w:pPr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Демаринское сельское поселение с населенными пунктами: село Демарино, поселок Котлик, село Кукушка, село Михайловка, село Новый Кумляк, село Старый Кумляк;</w:t>
      </w:r>
    </w:p>
    <w:p w:rsidR="00C6300A" w:rsidRPr="00C6300A" w:rsidRDefault="00C6300A" w:rsidP="00C6300A">
      <w:pPr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Кочкарское сельское поселение с населенными пунктами: село Кочкарь, село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Верхняя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Кабанка, село Поляновка, село Чукса;</w:t>
      </w:r>
    </w:p>
    <w:p w:rsidR="00C6300A" w:rsidRPr="00C6300A" w:rsidRDefault="00C6300A" w:rsidP="00C6300A">
      <w:pPr>
        <w:numPr>
          <w:ilvl w:val="0"/>
          <w:numId w:val="1"/>
        </w:numPr>
        <w:tabs>
          <w:tab w:val="left" w:pos="360"/>
        </w:tabs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Степнинское сельское поселение с населенными пунктами: село Степное, село Степнинское.</w:t>
      </w: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6"/>
      </w:tblGrid>
      <w:tr w:rsidR="00C6300A" w:rsidRPr="00C6300A" w:rsidTr="00970CA7">
        <w:tc>
          <w:tcPr>
            <w:tcW w:w="10139" w:type="dxa"/>
            <w:shd w:val="clear" w:color="auto" w:fill="auto"/>
          </w:tcPr>
          <w:p w:rsidR="00C6300A" w:rsidRPr="00C6300A" w:rsidRDefault="00C6300A" w:rsidP="00C6300A">
            <w:pPr>
              <w:spacing w:after="0"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b/>
                <w:sz w:val="28"/>
                <w:szCs w:val="28"/>
              </w:rPr>
              <w:t>Стратегия определяет ключевые направления деятельности органов местного самоуправления на этот период, обеспечивающие достижения таких стратегических целей развития Пластовского муниципального района, как повышение благосостояния населения и уменьшение бедности на основе динамичного и устойчивого экономического роста и повышения конкурентоспособности экономики района.</w:t>
            </w:r>
          </w:p>
        </w:tc>
      </w:tr>
    </w:tbl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tabs>
          <w:tab w:val="left" w:pos="1985"/>
        </w:tabs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 </w:t>
      </w:r>
      <w:r w:rsidRPr="00C6300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C6300A">
        <w:rPr>
          <w:rFonts w:ascii="Times New Roman" w:hAnsi="Times New Roman" w:cs="Times New Roman"/>
          <w:b/>
          <w:sz w:val="26"/>
          <w:szCs w:val="26"/>
        </w:rPr>
        <w:t>.  ХАРАКТЕРИСТИКА СОЦИАЛЬНО-ЭКОНОМИЧЕСКОГО ПОТЕНЦИАЛА ПЛАСТОВСКОГО МУНИЦИПАЛЬНОГО РАЙОНА</w:t>
      </w:r>
    </w:p>
    <w:p w:rsidR="00C6300A" w:rsidRPr="00C6300A" w:rsidRDefault="00C6300A" w:rsidP="00C6300A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t>Глава 1.  ПРИРОДНО-РЕСУРСНЫЙ ПОТЕНЦИАЛ ПЛАСТОВСКОГО МУНИЦИПАЛЬНОГО РАЙОНА</w:t>
      </w:r>
    </w:p>
    <w:p w:rsidR="00C6300A" w:rsidRPr="00C6300A" w:rsidRDefault="00C6300A" w:rsidP="00C6300A">
      <w:pPr>
        <w:spacing w:after="0" w:line="360" w:lineRule="auto"/>
        <w:ind w:firstLine="851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Природно-климатические условия.</w:t>
      </w:r>
      <w:r w:rsidRPr="00C6300A">
        <w:rPr>
          <w:rFonts w:ascii="Times New Roman" w:hAnsi="Times New Roman" w:cs="Times New Roman"/>
          <w:sz w:val="28"/>
          <w:szCs w:val="28"/>
        </w:rPr>
        <w:t xml:space="preserve"> Климат территории сухой, континентальный с холодной продолжительной зимой и теплым сухим летом. Средняя температура января от -15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до 35,8˚С. Устойчивый снежный покров до </w:t>
      </w:r>
      <w:smartTag w:uri="urn:schemas-microsoft-com:office:smarttags" w:element="metricconverter">
        <w:smartTagPr>
          <w:attr w:name="ProductID" w:val="30 см"/>
        </w:smartTagPr>
        <w:r w:rsidRPr="00C6300A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C6300A">
        <w:rPr>
          <w:rFonts w:ascii="Times New Roman" w:hAnsi="Times New Roman" w:cs="Times New Roman"/>
          <w:sz w:val="28"/>
          <w:szCs w:val="28"/>
        </w:rPr>
        <w:t>. Лето длится более 4х месяцев с начала мая до середины сентября. Средняя температура от +19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до 35,3˚С. Характерно теплой солнечной погодой, нередко жаркой погодой, которая чередуется дождливыми периодами. В год выпадает 350-40мм осадков, за вегетационный период 175-</w:t>
      </w:r>
      <w:smartTag w:uri="urn:schemas-microsoft-com:office:smarttags" w:element="metricconverter">
        <w:smartTagPr>
          <w:attr w:name="ProductID" w:val="225 мм"/>
        </w:smartTagPr>
        <w:r w:rsidRPr="00C6300A">
          <w:rPr>
            <w:rFonts w:ascii="Times New Roman" w:hAnsi="Times New Roman" w:cs="Times New Roman"/>
            <w:sz w:val="28"/>
            <w:szCs w:val="28"/>
          </w:rPr>
          <w:t>225 мм</w:t>
        </w:r>
      </w:smartTag>
      <w:r w:rsidRPr="00C6300A">
        <w:rPr>
          <w:rFonts w:ascii="Times New Roman" w:hAnsi="Times New Roman" w:cs="Times New Roman"/>
          <w:sz w:val="28"/>
          <w:szCs w:val="28"/>
        </w:rPr>
        <w:t>. В течение года преобладают южные ветра особенно зимой. Среднегодовая скорость ветра 2,7 м/сек, усиление ветра отмечается весной и осенью. Таким образом, территория района по климатическим условиям благоприятна для строительства и хозяйственного освоения территории.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 Минерально-сырьевая база.</w:t>
      </w:r>
      <w:r w:rsidRPr="00C6300A">
        <w:rPr>
          <w:rFonts w:ascii="Times New Roman" w:hAnsi="Times New Roman" w:cs="Times New Roman"/>
          <w:sz w:val="28"/>
          <w:szCs w:val="28"/>
        </w:rPr>
        <w:t xml:space="preserve"> Пластовский район расположен на земле богатой полезными ископаемыми. Здесь находятся месторождения золота и серебра (Кочкарское,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Светлинское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золоторудное,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Северо-Светлинское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россыпное,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Андрее-Юльевское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Михайловское), каолиновой глины (Журавлиный лог), талька (проявления на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Чемпаловском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месторождении), кианитов (проявления на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Андрее-Юльевском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и Михайловском месторождениях), кварца (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Северо-Светлинское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), белого и черного мрамора (проявления на Каменском месторождении) и другие. Кроме них, эксплуатируются месторождения строительного щебня и кирпичных глин, известны проявления хромитов, редких земельных элементов (группы тантала,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ниобата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и пр.), асбеста.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Долина речки Каменки – притока р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анарка, что южнее города Пласт, давно известна золотыми россыпями и самоцветами, за которые академик-кристаллограф Н.И.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в 1856 году окрестил эту территорию «Русской Бразилией».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 xml:space="preserve">Находки эвклаза, топаза, рутила, кианита, берилла, турмалина,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>моноцита, корунда, горного хрусталя и других минералов, сильно напоминали материалы из алмазных россыпей Бразилии.</w:t>
      </w:r>
      <w:proofErr w:type="gramEnd"/>
    </w:p>
    <w:p w:rsidR="00C6300A" w:rsidRPr="00C6300A" w:rsidRDefault="00C6300A" w:rsidP="00C6300A">
      <w:pPr>
        <w:pStyle w:val="31"/>
        <w:spacing w:line="360" w:lineRule="auto"/>
        <w:ind w:firstLine="851"/>
        <w:rPr>
          <w:szCs w:val="28"/>
        </w:rPr>
      </w:pPr>
      <w:r w:rsidRPr="00C6300A">
        <w:rPr>
          <w:b/>
          <w:szCs w:val="28"/>
        </w:rPr>
        <w:t>Земельные ресурсы.</w:t>
      </w:r>
      <w:r w:rsidRPr="00C6300A">
        <w:rPr>
          <w:szCs w:val="28"/>
        </w:rPr>
        <w:t xml:space="preserve"> Территория Пластовского муниципального района составляет </w:t>
      </w:r>
      <w:smartTag w:uri="urn:schemas-microsoft-com:office:smarttags" w:element="metricconverter">
        <w:smartTagPr>
          <w:attr w:name="ProductID" w:val="175176 га"/>
        </w:smartTagPr>
        <w:r w:rsidRPr="00C6300A">
          <w:rPr>
            <w:szCs w:val="28"/>
          </w:rPr>
          <w:t>175176 га</w:t>
        </w:r>
      </w:smartTag>
      <w:r w:rsidRPr="00C6300A">
        <w:rPr>
          <w:szCs w:val="28"/>
        </w:rPr>
        <w:t xml:space="preserve">, в том числе город – </w:t>
      </w:r>
      <w:smartTag w:uri="urn:schemas-microsoft-com:office:smarttags" w:element="metricconverter">
        <w:smartTagPr>
          <w:attr w:name="ProductID" w:val="2571 га"/>
        </w:smartTagPr>
        <w:r w:rsidRPr="00C6300A">
          <w:rPr>
            <w:szCs w:val="28"/>
          </w:rPr>
          <w:t>2571 га</w:t>
        </w:r>
      </w:smartTag>
      <w:r w:rsidRPr="00C6300A">
        <w:rPr>
          <w:szCs w:val="28"/>
        </w:rPr>
        <w:t xml:space="preserve">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Пластовский муниципальный район обладает достаточными свободными земельными участками под строительство  крупного промышленного производства,  многоэтажного и индивидуального жилищного строительства, коммунально-складских застроек, оптовых баз и др.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Сельскохозяйственные земли Пластовского муниципального района знамениты своей уникальной плодородной почвой, которая дает высокий урожай. Климатические условия способствуют развитию овощеводства.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Сельская местность богата полевыми и боровыми ягодами: клубника, земляника, брусника, костяника и др., в лесах произрастает огромное количество  видов съедобных грибов, редких лекарственных трав и других растений.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Ландшафтные условия и водные ресурсы.</w:t>
      </w:r>
      <w:r w:rsidRPr="00C6300A">
        <w:rPr>
          <w:rFonts w:ascii="Times New Roman" w:hAnsi="Times New Roman" w:cs="Times New Roman"/>
          <w:sz w:val="28"/>
          <w:szCs w:val="28"/>
        </w:rPr>
        <w:t xml:space="preserve"> Пластовский муниципальный район расположен на восточном склоне южного Урала  в зоне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Зауральского пенеплена, представляющего древнюю эрозионно-аккумулятивную поверхность выравнивания и охватывает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площадь сочленения двух региональных структур. Рельеф представляет собой холмисто-грядовую равнину, слабо наклоненную к востоку и расчлененную речными долинами с пологими прямолинейными или вогнутыми склонами. Типичными положительными формами рельефа являются холмы, увалы, реже сопки. Вершины холмов плоские, округлые, склоны пологие. Реки района,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расположенного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в Южном Зауралье, относятся к системе р. Тобол. Самая крупная река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левый приток Тобола. В  реку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Уй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впадают реки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Увелька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Санарка,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Курасан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и Черная. В 6-ти км от г. Пласт протекает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абанка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левый приток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Увельки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. Все реки имеют, как правило, широтное направление с запада на восток. Исключением является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очкарка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правый приток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р.Кабанка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, разрезающая северный район города с юга на север. На р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ерной образовано несколько прудов. В каждом населенном пункте имеются реки, водоемы что, создает благоприятные условия для разведения домашней водоплавающей птицы, рыбы.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lastRenderedPageBreak/>
        <w:t>Лесные ресурсы</w:t>
      </w:r>
      <w:r w:rsidRPr="00C6300A">
        <w:rPr>
          <w:rFonts w:ascii="Times New Roman" w:hAnsi="Times New Roman" w:cs="Times New Roman"/>
          <w:sz w:val="28"/>
          <w:szCs w:val="28"/>
        </w:rPr>
        <w:t xml:space="preserve">. Общая площадь лесного фонда на территории Пластовского района составляет 76 тыс.га. Протяженность территории с севера на юг </w:t>
      </w:r>
      <w:smartTag w:uri="urn:schemas-microsoft-com:office:smarttags" w:element="metricconverter">
        <w:smartTagPr>
          <w:attr w:name="ProductID" w:val="60 км"/>
        </w:smartTagPr>
        <w:r w:rsidRPr="00C6300A">
          <w:rPr>
            <w:rFonts w:ascii="Times New Roman" w:hAnsi="Times New Roman" w:cs="Times New Roman"/>
            <w:sz w:val="28"/>
            <w:szCs w:val="28"/>
          </w:rPr>
          <w:t>60 км</w:t>
        </w:r>
      </w:smartTag>
      <w:r w:rsidRPr="00C6300A">
        <w:rPr>
          <w:rFonts w:ascii="Times New Roman" w:hAnsi="Times New Roman" w:cs="Times New Roman"/>
          <w:sz w:val="28"/>
          <w:szCs w:val="28"/>
        </w:rPr>
        <w:t xml:space="preserve">, с запада на восток- </w:t>
      </w:r>
      <w:smartTag w:uri="urn:schemas-microsoft-com:office:smarttags" w:element="metricconverter">
        <w:smartTagPr>
          <w:attr w:name="ProductID" w:val="43 км"/>
        </w:smartTagPr>
        <w:r w:rsidRPr="00C6300A">
          <w:rPr>
            <w:rFonts w:ascii="Times New Roman" w:hAnsi="Times New Roman" w:cs="Times New Roman"/>
            <w:sz w:val="28"/>
            <w:szCs w:val="28"/>
          </w:rPr>
          <w:t>43 км</w:t>
        </w:r>
      </w:smartTag>
      <w:r w:rsidRPr="00C6300A">
        <w:rPr>
          <w:rFonts w:ascii="Times New Roman" w:hAnsi="Times New Roman" w:cs="Times New Roman"/>
          <w:sz w:val="28"/>
          <w:szCs w:val="28"/>
        </w:rPr>
        <w:t>. Средняя лесистость по району 24%. Преобладающие породы: береза 36,559 тыс.га. (57%), сосна-25,582тыс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а (40%)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Пластовский район расположен в лесостепной зоне Верхнеуральского лесостепного округа Зауральской предгорно-равнинной провинции, которая входит в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Западно-Сибирскую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равнинную лесорастительную область.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В растительном покрове района березовые и осиново-березовые колки и островные сосновые боры сочетаются с луговыми и настоящими злаково-разнотравными степями,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петрофитными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степями, а также пойменными и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остепненными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лугами.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Характерный элемент растительности района – островные сосновые боры на выходах гранитов (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Демаринский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Санарский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) занимающие значительные площади.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Леса Пластовского района отнесены к 1 группе лесов с разделением на следующие категории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: особо ценные лесные массивы, противоэрозионные леса, лесопарковая часть лесов зеленой зоны, защитные полосы лесов вдоль автомобильных дорог, другие леса на пустынных, полупустынных, степных, лесостепных и малолесных горных территориях, имеющие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для защиты окружающей среды.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 целью сохранения целостности естественных экосистем, уникальных природных комплексов на территории района образованы особо охраняемые природные территории. Общая площадь особо охраняемых природных территорий регионального значения по району 32,9626 тыс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а, в том числе 31,588 тыс. га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Санарский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государственный природный комплексный заказник Челябинской области, 1,038 тыс.га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Демаринский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бор памятник природы.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Туристические ресурсы</w:t>
      </w:r>
      <w:r w:rsidRPr="00C6300A">
        <w:rPr>
          <w:rFonts w:ascii="Times New Roman" w:hAnsi="Times New Roman" w:cs="Times New Roman"/>
          <w:sz w:val="28"/>
          <w:szCs w:val="28"/>
        </w:rPr>
        <w:t xml:space="preserve">. Села Пластовского района знамениты своими памятниками природы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Санарский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бор,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Демаринский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бор,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Борисовские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сопки, Жуковская копь, Андреевский каменный карьер, Круговое углубление (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Андрееюльевск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), в селе Степном расположен историко-археологический центр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Аркаим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», имеются туристические геологические маршруты, памятники архитектурных строений – храмы в селах Верхняя Санарка, Кочкарь и Демарино. </w:t>
      </w:r>
    </w:p>
    <w:p w:rsidR="00C6300A" w:rsidRPr="00C6300A" w:rsidRDefault="00C6300A" w:rsidP="00C6300A">
      <w:pPr>
        <w:spacing w:after="0"/>
        <w:ind w:hanging="1134"/>
        <w:jc w:val="right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ind w:hanging="1134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Рис.1</w:t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sz w:val="26"/>
          <w:szCs w:val="26"/>
        </w:rPr>
        <w:t xml:space="preserve">         Схема территориального планирования Пластовского муниципального района</w:t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C6300A" w:rsidRPr="00C6300A" w:rsidRDefault="00C6300A" w:rsidP="00C6300A">
      <w:pPr>
        <w:spacing w:after="0"/>
        <w:ind w:hanging="241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410075" cy="5105400"/>
            <wp:effectExtent l="19050" t="0" r="9525" b="0"/>
            <wp:docPr id="3" name="Рисунок 3" descr="Опорный план П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ный план ПМ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ind w:hanging="1134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t>Глава 2.  ДЕМОГРАФИЧЕСКАЯ СИТУАЦИЯ И ПОТЕНЦИАЛ ТРУДОВЫХ РЕСУРСОВ</w:t>
      </w:r>
    </w:p>
    <w:p w:rsidR="00C6300A" w:rsidRPr="00C6300A" w:rsidRDefault="00C6300A" w:rsidP="00C6300A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Численность населения Пластовского муниципального района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 По данным Всероссийской переписи населения 2010 года численность населения муниципального района составляла 26,209 тыс. чел. (0,75% от численности населения </w:t>
      </w:r>
      <w:r w:rsidRPr="00C6300A">
        <w:rPr>
          <w:rFonts w:ascii="Times New Roman" w:hAnsi="Times New Roman" w:cs="Times New Roman"/>
          <w:spacing w:val="-1"/>
          <w:sz w:val="28"/>
          <w:szCs w:val="28"/>
        </w:rPr>
        <w:t xml:space="preserve">Челябинской области), а уже по итогам 2018 года среднегодовая численность уменьшилась </w:t>
      </w:r>
      <w:r w:rsidRPr="00C6300A">
        <w:rPr>
          <w:rFonts w:ascii="Times New Roman" w:hAnsi="Times New Roman" w:cs="Times New Roman"/>
          <w:sz w:val="28"/>
          <w:szCs w:val="28"/>
        </w:rPr>
        <w:t>до 25,314 тыс. человек (0,73 % от среднегодовой численности Челябинской области). Снижение по сравнению с 2010 годом составило 3,41 %.</w:t>
      </w:r>
    </w:p>
    <w:p w:rsidR="00C6300A" w:rsidRPr="00C6300A" w:rsidRDefault="00C6300A" w:rsidP="00C6300A">
      <w:pPr>
        <w:pStyle w:val="a6"/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C6300A">
        <w:rPr>
          <w:bCs/>
          <w:sz w:val="28"/>
          <w:szCs w:val="28"/>
        </w:rPr>
        <w:t>Одной из серьезных проблем демографического развития района является уровень смертности. Снижение смертности – один из факторов сокращения ежегодных потерь численности населения.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По численности населения район занимает 18-е место среди муниципальных районов Челябинской области: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</w:t>
      </w:r>
    </w:p>
    <w:p w:rsidR="00C6300A" w:rsidRPr="00C6300A" w:rsidRDefault="00C6300A" w:rsidP="00C6300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Среднегодовая численность населения по муниципальным районам Челябинской области по итогам 2018 года (человек)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noProof/>
        </w:rPr>
        <w:drawing>
          <wp:inline distT="0" distB="0" distL="0" distR="0">
            <wp:extent cx="5153025" cy="2743200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noProof/>
        </w:rPr>
      </w:pP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  <w:noProof/>
        </w:rPr>
      </w:pPr>
      <w:r w:rsidRPr="00C6300A">
        <w:rPr>
          <w:rFonts w:ascii="Times New Roman" w:hAnsi="Times New Roman" w:cs="Times New Roman"/>
          <w:noProof/>
        </w:rPr>
        <w:t>Диаграмма 2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67325" cy="20955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19750" cy="232410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Таблица 1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Численность постоянного населения 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по Пластовскому муниципальному району</w:t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 xml:space="preserve"> </w:t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(на начало года, человек)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851"/>
        <w:gridCol w:w="851"/>
        <w:gridCol w:w="850"/>
        <w:gridCol w:w="851"/>
        <w:gridCol w:w="850"/>
        <w:gridCol w:w="851"/>
        <w:gridCol w:w="850"/>
        <w:gridCol w:w="851"/>
        <w:gridCol w:w="992"/>
        <w:gridCol w:w="850"/>
      </w:tblGrid>
      <w:tr w:rsidR="00C6300A" w:rsidRPr="00C6300A" w:rsidTr="00970CA7">
        <w:trPr>
          <w:trHeight w:val="459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300A">
              <w:rPr>
                <w:rFonts w:ascii="Times New Roman" w:hAnsi="Times New Roman" w:cs="Times New Roman"/>
              </w:rPr>
              <w:t>201</w:t>
            </w:r>
            <w:r w:rsidRPr="00C6300A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C6300A" w:rsidRPr="00C6300A" w:rsidTr="00970CA7">
        <w:tc>
          <w:tcPr>
            <w:tcW w:w="1560" w:type="dxa"/>
            <w:shd w:val="clear" w:color="auto" w:fill="D6E3BC"/>
          </w:tcPr>
          <w:p w:rsidR="00C6300A" w:rsidRPr="00C6300A" w:rsidRDefault="00C6300A" w:rsidP="00C630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Пластовский район</w:t>
            </w:r>
          </w:p>
        </w:tc>
        <w:tc>
          <w:tcPr>
            <w:tcW w:w="851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26209</w:t>
            </w:r>
          </w:p>
        </w:tc>
        <w:tc>
          <w:tcPr>
            <w:tcW w:w="851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25935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25783</w:t>
            </w:r>
          </w:p>
        </w:tc>
        <w:tc>
          <w:tcPr>
            <w:tcW w:w="851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25644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25626</w:t>
            </w:r>
          </w:p>
        </w:tc>
        <w:tc>
          <w:tcPr>
            <w:tcW w:w="851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25853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25816</w:t>
            </w:r>
          </w:p>
        </w:tc>
        <w:tc>
          <w:tcPr>
            <w:tcW w:w="851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25830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25509</w:t>
            </w:r>
          </w:p>
        </w:tc>
        <w:tc>
          <w:tcPr>
            <w:tcW w:w="850" w:type="dxa"/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25314</w:t>
            </w:r>
          </w:p>
        </w:tc>
      </w:tr>
      <w:tr w:rsidR="00C6300A" w:rsidRPr="00C6300A" w:rsidTr="00970CA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6300A" w:rsidRPr="00C6300A" w:rsidRDefault="00C6300A" w:rsidP="00C630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Городское 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17505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17303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17248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17209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17531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17483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17446</w:t>
            </w:r>
          </w:p>
        </w:tc>
      </w:tr>
      <w:tr w:rsidR="00C6300A" w:rsidRPr="00C6300A" w:rsidTr="00970CA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6300A" w:rsidRPr="00C6300A" w:rsidRDefault="00C6300A" w:rsidP="00C6300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Сельское 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8704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8629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8535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8366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8333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8001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300A">
              <w:rPr>
                <w:rFonts w:ascii="Times New Roman" w:hAnsi="Times New Roman" w:cs="Times New Roman"/>
                <w:lang w:val="en-US"/>
              </w:rPr>
              <w:t>7868</w:t>
            </w:r>
          </w:p>
        </w:tc>
      </w:tr>
    </w:tbl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Таблица 2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Родившиеся, умершие и естественный прирост населения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715" w:type="dxa"/>
        <w:jc w:val="center"/>
        <w:tblInd w:w="-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4"/>
        <w:gridCol w:w="1407"/>
        <w:gridCol w:w="1260"/>
        <w:gridCol w:w="1583"/>
        <w:gridCol w:w="1451"/>
        <w:gridCol w:w="1334"/>
        <w:gridCol w:w="1776"/>
      </w:tblGrid>
      <w:tr w:rsidR="00C6300A" w:rsidRPr="00C6300A" w:rsidTr="00970CA7">
        <w:trPr>
          <w:cantSplit/>
          <w:jc w:val="center"/>
        </w:trPr>
        <w:tc>
          <w:tcPr>
            <w:tcW w:w="9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4250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Всего,</w:t>
            </w:r>
          </w:p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45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Коэффициенты,</w:t>
            </w:r>
          </w:p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на 1000 человек населения</w:t>
            </w:r>
          </w:p>
        </w:tc>
      </w:tr>
      <w:tr w:rsidR="00C6300A" w:rsidRPr="00C6300A" w:rsidTr="00970CA7">
        <w:trPr>
          <w:cantSplit/>
          <w:jc w:val="center"/>
        </w:trPr>
        <w:tc>
          <w:tcPr>
            <w:tcW w:w="90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родившихся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6300A">
              <w:rPr>
                <w:rFonts w:ascii="Times New Roman" w:hAnsi="Times New Roman" w:cs="Times New Roman"/>
              </w:rPr>
              <w:t>умерших</w:t>
            </w:r>
            <w:proofErr w:type="gramEnd"/>
          </w:p>
        </w:tc>
        <w:tc>
          <w:tcPr>
            <w:tcW w:w="1583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естественный прирост</w:t>
            </w:r>
            <w:proofErr w:type="gramStart"/>
            <w:r w:rsidRPr="00C6300A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C6300A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145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рождаемости</w:t>
            </w:r>
          </w:p>
        </w:tc>
        <w:tc>
          <w:tcPr>
            <w:tcW w:w="13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смертности</w:t>
            </w:r>
          </w:p>
        </w:tc>
        <w:tc>
          <w:tcPr>
            <w:tcW w:w="177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естественный прирост</w:t>
            </w:r>
            <w:proofErr w:type="gramStart"/>
            <w:r w:rsidRPr="00C6300A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C6300A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</w:tr>
      <w:tr w:rsidR="00C6300A" w:rsidRPr="00C6300A" w:rsidTr="00970CA7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lastRenderedPageBreak/>
              <w:t>2009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463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-45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-1,8</w:t>
            </w:r>
          </w:p>
        </w:tc>
      </w:tr>
      <w:tr w:rsidR="00C6300A" w:rsidRPr="00C6300A" w:rsidTr="00970CA7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-96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-3,7</w:t>
            </w:r>
          </w:p>
        </w:tc>
      </w:tr>
      <w:tr w:rsidR="00C6300A" w:rsidRPr="00C6300A" w:rsidTr="00970CA7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-74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18,6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-2,9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-35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-1,4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-79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-3,1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-52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-2,0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-65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-2,5</w:t>
            </w:r>
          </w:p>
        </w:tc>
      </w:tr>
      <w:tr w:rsidR="00C6300A" w:rsidRPr="00C6300A" w:rsidTr="00970CA7">
        <w:trPr>
          <w:trHeight w:val="30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-49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6300A">
              <w:rPr>
                <w:rFonts w:ascii="Times New Roman" w:hAnsi="Times New Roman" w:cs="Times New Roman"/>
                <w:color w:val="000000"/>
              </w:rPr>
              <w:t>-2,0</w:t>
            </w:r>
          </w:p>
        </w:tc>
      </w:tr>
    </w:tbl>
    <w:p w:rsidR="00C6300A" w:rsidRPr="00C6300A" w:rsidRDefault="00C6300A" w:rsidP="00C6300A">
      <w:pPr>
        <w:pStyle w:val="1N3000000"/>
        <w:numPr>
          <w:ilvl w:val="0"/>
          <w:numId w:val="2"/>
        </w:numPr>
        <w:ind w:left="0"/>
        <w:jc w:val="left"/>
        <w:rPr>
          <w:rFonts w:ascii="Times New Roman" w:hAnsi="Times New Roman"/>
          <w:sz w:val="16"/>
          <w:szCs w:val="16"/>
        </w:rPr>
      </w:pPr>
      <w:r w:rsidRPr="00C6300A">
        <w:rPr>
          <w:rFonts w:ascii="Times New Roman" w:hAnsi="Times New Roman"/>
          <w:sz w:val="16"/>
          <w:szCs w:val="16"/>
        </w:rPr>
        <w:t>Знак</w:t>
      </w:r>
      <w:proofErr w:type="gramStart"/>
      <w:r w:rsidRPr="00C6300A">
        <w:rPr>
          <w:rFonts w:ascii="Times New Roman" w:hAnsi="Times New Roman"/>
          <w:sz w:val="16"/>
          <w:szCs w:val="16"/>
        </w:rPr>
        <w:t xml:space="preserve"> (-) </w:t>
      </w:r>
      <w:proofErr w:type="gramEnd"/>
      <w:r w:rsidRPr="00C6300A">
        <w:rPr>
          <w:rFonts w:ascii="Times New Roman" w:hAnsi="Times New Roman"/>
          <w:sz w:val="16"/>
          <w:szCs w:val="16"/>
        </w:rPr>
        <w:t>означает естественную убыль населения.</w:t>
      </w:r>
    </w:p>
    <w:p w:rsidR="00C6300A" w:rsidRPr="00C6300A" w:rsidRDefault="00C6300A" w:rsidP="00C6300A">
      <w:pPr>
        <w:pStyle w:val="1N3000000"/>
        <w:jc w:val="left"/>
        <w:rPr>
          <w:rFonts w:ascii="Times New Roman" w:hAnsi="Times New Roman"/>
          <w:sz w:val="24"/>
          <w:szCs w:val="24"/>
        </w:rPr>
      </w:pPr>
    </w:p>
    <w:p w:rsidR="00C6300A" w:rsidRPr="00C6300A" w:rsidRDefault="00C6300A" w:rsidP="00C6300A">
      <w:pPr>
        <w:pStyle w:val="1N3000000"/>
        <w:jc w:val="right"/>
        <w:rPr>
          <w:rFonts w:ascii="Times New Roman" w:hAnsi="Times New Roman"/>
          <w:sz w:val="22"/>
          <w:szCs w:val="22"/>
        </w:rPr>
      </w:pPr>
      <w:r w:rsidRPr="00C6300A">
        <w:rPr>
          <w:rFonts w:ascii="Times New Roman" w:hAnsi="Times New Roman"/>
          <w:sz w:val="22"/>
          <w:szCs w:val="22"/>
        </w:rPr>
        <w:t>Диаграмма 3</w:t>
      </w:r>
    </w:p>
    <w:p w:rsidR="00C6300A" w:rsidRPr="00C6300A" w:rsidRDefault="00C6300A" w:rsidP="00C6300A">
      <w:pPr>
        <w:pStyle w:val="1N3000000"/>
        <w:ind w:hanging="578"/>
        <w:jc w:val="left"/>
        <w:rPr>
          <w:rFonts w:ascii="Times New Roman" w:hAnsi="Times New Roman"/>
          <w:sz w:val="16"/>
          <w:szCs w:val="16"/>
        </w:rPr>
      </w:pPr>
      <w:r w:rsidRPr="00C6300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048375" cy="380047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6300A" w:rsidRPr="00C6300A" w:rsidRDefault="00C6300A" w:rsidP="00C6300A">
      <w:pPr>
        <w:pStyle w:val="1N3000000"/>
        <w:jc w:val="left"/>
        <w:rPr>
          <w:rFonts w:ascii="Times New Roman" w:hAnsi="Times New Roman"/>
          <w:sz w:val="16"/>
          <w:szCs w:val="16"/>
        </w:rPr>
      </w:pPr>
    </w:p>
    <w:p w:rsidR="00C6300A" w:rsidRPr="00C6300A" w:rsidRDefault="00C6300A" w:rsidP="00C6300A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sz w:val="22"/>
          <w:szCs w:val="22"/>
          <w:lang w:val="ru-RU"/>
        </w:rPr>
      </w:pPr>
      <w:r w:rsidRPr="00C6300A">
        <w:rPr>
          <w:rFonts w:ascii="Times New Roman" w:hAnsi="Times New Roman"/>
          <w:b w:val="0"/>
          <w:bCs w:val="0"/>
          <w:sz w:val="22"/>
          <w:szCs w:val="22"/>
          <w:lang w:val="ru-RU"/>
        </w:rPr>
        <w:t>Таблица 3</w:t>
      </w:r>
    </w:p>
    <w:p w:rsidR="00C6300A" w:rsidRPr="00C6300A" w:rsidRDefault="00C6300A" w:rsidP="00C6300A">
      <w:pPr>
        <w:pStyle w:val="4"/>
        <w:spacing w:before="0" w:after="0"/>
        <w:jc w:val="center"/>
        <w:rPr>
          <w:rFonts w:ascii="Times New Roman" w:hAnsi="Times New Roman"/>
          <w:bCs w:val="0"/>
          <w:lang w:val="ru-RU"/>
        </w:rPr>
      </w:pPr>
      <w:r w:rsidRPr="00C6300A">
        <w:rPr>
          <w:rFonts w:ascii="Times New Roman" w:hAnsi="Times New Roman"/>
          <w:bCs w:val="0"/>
        </w:rPr>
        <w:t>Миграция населения по Пластовскому муниципальному району</w:t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</w:rPr>
      </w:pPr>
    </w:p>
    <w:tbl>
      <w:tblPr>
        <w:tblW w:w="956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423"/>
        <w:gridCol w:w="2380"/>
        <w:gridCol w:w="2381"/>
        <w:gridCol w:w="2381"/>
      </w:tblGrid>
      <w:tr w:rsidR="00C6300A" w:rsidRPr="00C6300A" w:rsidTr="00970CA7">
        <w:trPr>
          <w:cantSplit/>
          <w:jc w:val="center"/>
        </w:trPr>
        <w:tc>
          <w:tcPr>
            <w:tcW w:w="2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Годы</w:t>
            </w:r>
          </w:p>
        </w:tc>
        <w:tc>
          <w:tcPr>
            <w:tcW w:w="7142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Всего, человек</w:t>
            </w:r>
          </w:p>
        </w:tc>
      </w:tr>
      <w:tr w:rsidR="00C6300A" w:rsidRPr="00C6300A" w:rsidTr="00970CA7">
        <w:trPr>
          <w:cantSplit/>
          <w:jc w:val="center"/>
        </w:trPr>
        <w:tc>
          <w:tcPr>
            <w:tcW w:w="24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38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Прибывших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Выбывших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Миграционный прирост</w:t>
            </w:r>
            <w:proofErr w:type="gramStart"/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(-</w:t>
            </w:r>
            <w:proofErr w:type="gramEnd"/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убыль)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2009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481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430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420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509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-89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806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881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-75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795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899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-104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920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940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-20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1153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952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1014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972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1224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1158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2017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953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1209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-256</w:t>
            </w:r>
          </w:p>
        </w:tc>
      </w:tr>
      <w:tr w:rsidR="00C6300A" w:rsidRPr="00C6300A" w:rsidTr="00970CA7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6300A" w:rsidRPr="00C6300A" w:rsidRDefault="00C6300A" w:rsidP="00C6300A">
            <w:pPr>
              <w:pStyle w:val="ltable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2018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708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6300A" w:rsidRPr="00C6300A" w:rsidRDefault="00C6300A" w:rsidP="00C6300A">
            <w:pPr>
              <w:pStyle w:val="ltable"/>
              <w:tabs>
                <w:tab w:val="left" w:pos="1188"/>
              </w:tabs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300A">
              <w:rPr>
                <w:rFonts w:ascii="Times New Roman" w:hAnsi="Times New Roman"/>
                <w:sz w:val="26"/>
                <w:szCs w:val="26"/>
                <w:lang w:eastAsia="ar-SA"/>
              </w:rPr>
              <w:t>1046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-338</w:t>
            </w:r>
          </w:p>
        </w:tc>
      </w:tr>
    </w:tbl>
    <w:p w:rsidR="00C6300A" w:rsidRPr="00C6300A" w:rsidRDefault="00C6300A" w:rsidP="00C6300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6300A" w:rsidRPr="00C6300A" w:rsidRDefault="00C6300A" w:rsidP="00C6300A">
      <w:pPr>
        <w:spacing w:after="0"/>
        <w:jc w:val="both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jc w:val="both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jc w:val="both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4</w:t>
      </w:r>
    </w:p>
    <w:p w:rsidR="00C6300A" w:rsidRPr="00C6300A" w:rsidRDefault="00C6300A" w:rsidP="00C6300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67425" cy="34956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На изменение численности населения значительно влияет миграция населения. В Пластовском муниципальном районе миграционные процессы характеризуются оттоком населения.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По данным Всероссийской переписи населения 2010 года национальный состав района включает: русские (85,6%), татары (6,4%), казахи (2,1%), башкиры (1,5%), украинцы (1,4%), белорусы (0,5%), немцы (0,5%), цыгане (0,4%), мордва (0,3%), армяне (0,2%) и прочие (1,1%).</w:t>
      </w: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5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324600" cy="302895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Таблица 4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6300A">
        <w:rPr>
          <w:rFonts w:ascii="Times New Roman" w:hAnsi="Times New Roman" w:cs="Times New Roman"/>
          <w:b/>
        </w:rPr>
        <w:t>Структура численности занятых в экономике, тыс. чел.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C6300A" w:rsidRPr="00C6300A" w:rsidTr="00970CA7">
        <w:trPr>
          <w:trHeight w:val="562"/>
        </w:trPr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4.3pt;margin-top:1.85pt;width:176.75pt;height:25.7pt;flip:y;z-index:251660288" o:connectortype="straight"/>
              </w:pict>
            </w:r>
            <w:r w:rsidRPr="00C6300A">
              <w:rPr>
                <w:rFonts w:ascii="Times New Roman" w:hAnsi="Times New Roman" w:cs="Times New Roman"/>
                <w:b/>
              </w:rPr>
              <w:t>год</w:t>
            </w:r>
          </w:p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 xml:space="preserve">                                            Сектор экономики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C6300A" w:rsidRPr="00C6300A" w:rsidTr="00970CA7"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Крупные и средние предприятия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5,9</w:t>
            </w:r>
          </w:p>
        </w:tc>
      </w:tr>
      <w:tr w:rsidR="00C6300A" w:rsidRPr="00C6300A" w:rsidTr="00970CA7"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Малый и средний бизнес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1,8</w:t>
            </w:r>
          </w:p>
        </w:tc>
      </w:tr>
      <w:tr w:rsidR="00C6300A" w:rsidRPr="00C6300A" w:rsidTr="00970CA7"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Бюджетный сектор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2,5</w:t>
            </w:r>
          </w:p>
        </w:tc>
      </w:tr>
    </w:tbl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color w:val="FF0000"/>
        </w:rPr>
      </w:pPr>
      <w:r w:rsidRPr="00C6300A">
        <w:rPr>
          <w:rFonts w:ascii="Times New Roman" w:hAnsi="Times New Roman" w:cs="Times New Roman"/>
          <w:b/>
        </w:rPr>
        <w:t>Численность населения трудоспособного возраста, тыс. чел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C6300A" w:rsidRPr="00C6300A" w:rsidTr="00970CA7">
        <w:trPr>
          <w:trHeight w:val="325"/>
        </w:trPr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C6300A" w:rsidRPr="00C6300A" w:rsidTr="00970CA7"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Численность населения трудоспособного возраста 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13,2</w:t>
            </w:r>
          </w:p>
        </w:tc>
      </w:tr>
    </w:tbl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6300A">
        <w:rPr>
          <w:rFonts w:ascii="Times New Roman" w:hAnsi="Times New Roman" w:cs="Times New Roman"/>
          <w:b/>
        </w:rPr>
        <w:t>Уровень безработицы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 w:rsidR="00C6300A" w:rsidRPr="00C6300A" w:rsidTr="00970CA7">
        <w:trPr>
          <w:trHeight w:val="286"/>
        </w:trPr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 xml:space="preserve">год 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C6300A" w:rsidRPr="00C6300A" w:rsidTr="00970CA7">
        <w:tc>
          <w:tcPr>
            <w:tcW w:w="3652" w:type="dxa"/>
            <w:shd w:val="clear" w:color="auto" w:fill="auto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Уровень безработицы, %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2,01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2,19</w:t>
            </w:r>
          </w:p>
        </w:tc>
        <w:tc>
          <w:tcPr>
            <w:tcW w:w="779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1,73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1,86</w:t>
            </w:r>
          </w:p>
        </w:tc>
        <w:tc>
          <w:tcPr>
            <w:tcW w:w="780" w:type="dxa"/>
            <w:shd w:val="clear" w:color="auto" w:fill="auto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1,4</w:t>
            </w:r>
          </w:p>
        </w:tc>
      </w:tr>
    </w:tbl>
    <w:p w:rsidR="00C6300A" w:rsidRPr="00C6300A" w:rsidRDefault="00C6300A" w:rsidP="00C6300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Глава 3.ЭКОНОМИЧЕСКИЙ ПОТЕНЦИАЛ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Структура экономики Пластовского муниципального района представлена следующими видами экономической деятельности: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Промышленное производство</w:t>
      </w:r>
      <w:r w:rsidRPr="00C6300A">
        <w:rPr>
          <w:rFonts w:ascii="Times New Roman" w:hAnsi="Times New Roman" w:cs="Times New Roman"/>
          <w:sz w:val="28"/>
          <w:szCs w:val="28"/>
        </w:rPr>
        <w:t xml:space="preserve"> - </w:t>
      </w:r>
      <w:r w:rsidRPr="00C6300A">
        <w:rPr>
          <w:rFonts w:ascii="Times New Roman" w:hAnsi="Times New Roman" w:cs="Times New Roman"/>
          <w:sz w:val="28"/>
        </w:rPr>
        <w:t>Промышленность района представлена такими предприятиями, как АО «ЮГК», ООО «Пласт-Рифей», ООО «Новые технологии».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6300A">
        <w:rPr>
          <w:rFonts w:ascii="Times New Roman" w:hAnsi="Times New Roman" w:cs="Times New Roman"/>
          <w:sz w:val="28"/>
        </w:rPr>
        <w:t>АО «Южуралзолото Группа Компаний» является градообразующим предприятием Пластовского муниципального района.</w:t>
      </w:r>
      <w:r w:rsidRPr="00C6300A">
        <w:rPr>
          <w:rFonts w:ascii="Times New Roman" w:hAnsi="Times New Roman" w:cs="Times New Roman"/>
          <w:noProof/>
        </w:rPr>
        <w:t xml:space="preserve"> 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За 2018 год предприятием АО «ЮГК» выполнены следующие показатели: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lastRenderedPageBreak/>
        <w:t>- объем добычи золота по подразделениям, находящимся в Пластовском муниципального районе составил 5630 кг;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- подземные горные работы: добыча руды составила 1,5 млн.  тонн;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- открытые горные работы: добыча горной массы по ГОК «Светлинский» составила 20 млн. куб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;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- объем инвестиций в основной капитал за счет всех источников финансирования составил 4,8 млрд. рублей.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 Для обеспечения </w:t>
      </w:r>
      <w:proofErr w:type="spellStart"/>
      <w:proofErr w:type="gramStart"/>
      <w:r w:rsidRPr="00C6300A">
        <w:rPr>
          <w:rFonts w:ascii="Times New Roman" w:hAnsi="Times New Roman" w:cs="Times New Roman"/>
          <w:sz w:val="28"/>
          <w:szCs w:val="28"/>
        </w:rPr>
        <w:t>горно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– обогатительного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комбината собственной энергией на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ГОКе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«Светлинский» в 2018 году смонтированы две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газопоршневые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электростанции мощностью 8,5 МВт.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Ведется реконструкция ЗИФ «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Светлинская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» с дополнительным введением в эксплуатацию двух дополнительных блоков измельчения и цеха гидрометаллургии, что позволит увеличить производительность по переработке не менее 13 млн. тонн руды в год.</w:t>
      </w:r>
    </w:p>
    <w:p w:rsidR="00C6300A" w:rsidRPr="00C6300A" w:rsidRDefault="00C6300A" w:rsidP="00C6300A">
      <w:pPr>
        <w:pStyle w:val="ac"/>
        <w:spacing w:before="0" w:beforeAutospacing="0" w:after="0" w:afterAutospacing="0" w:line="360" w:lineRule="auto"/>
        <w:jc w:val="both"/>
        <w:textAlignment w:val="center"/>
        <w:rPr>
          <w:kern w:val="24"/>
          <w:sz w:val="28"/>
          <w:szCs w:val="28"/>
        </w:rPr>
      </w:pPr>
      <w:r w:rsidRPr="00C6300A">
        <w:rPr>
          <w:kern w:val="24"/>
          <w:sz w:val="28"/>
          <w:szCs w:val="28"/>
        </w:rPr>
        <w:tab/>
        <w:t xml:space="preserve">В 2018 году построен подземный газопровод высокого давления 1,2 </w:t>
      </w:r>
      <w:proofErr w:type="spellStart"/>
      <w:r w:rsidRPr="00C6300A">
        <w:rPr>
          <w:kern w:val="24"/>
          <w:sz w:val="28"/>
          <w:szCs w:val="28"/>
        </w:rPr>
        <w:t>Мпа</w:t>
      </w:r>
      <w:proofErr w:type="spellEnd"/>
      <w:r w:rsidRPr="00C6300A">
        <w:rPr>
          <w:kern w:val="24"/>
          <w:sz w:val="28"/>
          <w:szCs w:val="28"/>
        </w:rPr>
        <w:t xml:space="preserve"> (</w:t>
      </w:r>
      <w:proofErr w:type="spellStart"/>
      <w:r w:rsidRPr="00C6300A">
        <w:rPr>
          <w:kern w:val="24"/>
          <w:sz w:val="28"/>
          <w:szCs w:val="28"/>
        </w:rPr>
        <w:t>мегапаскаль</w:t>
      </w:r>
      <w:proofErr w:type="spellEnd"/>
      <w:r w:rsidRPr="00C6300A">
        <w:rPr>
          <w:kern w:val="24"/>
          <w:sz w:val="28"/>
          <w:szCs w:val="28"/>
        </w:rPr>
        <w:t xml:space="preserve">), протяженностью 33 км, для газоснабжения производственных объектов и </w:t>
      </w:r>
      <w:proofErr w:type="spellStart"/>
      <w:r w:rsidRPr="00C6300A">
        <w:rPr>
          <w:kern w:val="24"/>
          <w:sz w:val="28"/>
          <w:szCs w:val="28"/>
        </w:rPr>
        <w:t>энергоцентров</w:t>
      </w:r>
      <w:proofErr w:type="spellEnd"/>
      <w:r w:rsidRPr="00C6300A">
        <w:rPr>
          <w:kern w:val="24"/>
          <w:sz w:val="28"/>
          <w:szCs w:val="28"/>
        </w:rPr>
        <w:t>.</w:t>
      </w:r>
    </w:p>
    <w:p w:rsidR="00C6300A" w:rsidRPr="00C6300A" w:rsidRDefault="00C6300A" w:rsidP="00C6300A">
      <w:pPr>
        <w:pStyle w:val="ac"/>
        <w:spacing w:before="0" w:beforeAutospacing="0" w:after="0" w:afterAutospacing="0" w:line="360" w:lineRule="auto"/>
        <w:jc w:val="both"/>
        <w:textAlignment w:val="center"/>
        <w:rPr>
          <w:kern w:val="24"/>
          <w:sz w:val="28"/>
          <w:szCs w:val="28"/>
        </w:rPr>
      </w:pPr>
      <w:r w:rsidRPr="00C6300A">
        <w:rPr>
          <w:sz w:val="28"/>
          <w:szCs w:val="28"/>
        </w:rPr>
        <w:tab/>
        <w:t>В 2018 году АО «ЮГК» приступило</w:t>
      </w:r>
      <w:r w:rsidRPr="00C6300A">
        <w:rPr>
          <w:kern w:val="24"/>
          <w:sz w:val="28"/>
          <w:szCs w:val="28"/>
        </w:rPr>
        <w:t xml:space="preserve"> к реконструкции АБК шахты «Центральная», которая увеличит объем полезных площадей.</w:t>
      </w:r>
    </w:p>
    <w:p w:rsidR="00C6300A" w:rsidRPr="00C6300A" w:rsidRDefault="00C6300A" w:rsidP="00C6300A">
      <w:pPr>
        <w:pStyle w:val="ac"/>
        <w:spacing w:before="0" w:beforeAutospacing="0" w:after="0" w:afterAutospacing="0" w:line="360" w:lineRule="auto"/>
        <w:ind w:firstLine="708"/>
        <w:jc w:val="both"/>
        <w:textAlignment w:val="center"/>
        <w:rPr>
          <w:kern w:val="24"/>
          <w:sz w:val="28"/>
          <w:szCs w:val="28"/>
        </w:rPr>
      </w:pPr>
      <w:r w:rsidRPr="00C6300A">
        <w:rPr>
          <w:kern w:val="24"/>
          <w:sz w:val="28"/>
          <w:szCs w:val="28"/>
        </w:rPr>
        <w:t>В 2019 году планируется ввести в эксплуатацию Производственный цех №1 ЗИФ «Пластовская», производительность по переработке увеличится до 5 млн. тонн руды в год.</w:t>
      </w:r>
    </w:p>
    <w:p w:rsidR="00C6300A" w:rsidRPr="00C6300A" w:rsidRDefault="00C6300A" w:rsidP="00C6300A">
      <w:pPr>
        <w:pStyle w:val="ac"/>
        <w:spacing w:before="0" w:beforeAutospacing="0" w:after="0" w:afterAutospacing="0" w:line="360" w:lineRule="auto"/>
        <w:ind w:firstLine="708"/>
        <w:jc w:val="both"/>
        <w:textAlignment w:val="center"/>
        <w:rPr>
          <w:kern w:val="24"/>
          <w:sz w:val="28"/>
          <w:szCs w:val="28"/>
        </w:rPr>
      </w:pPr>
      <w:r w:rsidRPr="00C6300A">
        <w:rPr>
          <w:kern w:val="24"/>
          <w:sz w:val="28"/>
          <w:szCs w:val="28"/>
        </w:rPr>
        <w:t>С 2017 года АО «ЮГК» ведет строительство циклично-поточной технологии для доставки руды на фабрику с карьера, завершить которое предприятие рассчитывает в 2019 году.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В планах предприятия приобретение новых объектов -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Поляновская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площадь, которая включает в себя 7 перспективных объектов, общие прогнозные ресурсы 30 тонн добычи золота.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С 2018 года у предприятия «Пласт-Рифей» новый собственник – иностранная компания </w:t>
      </w:r>
      <w:r w:rsidRPr="00C6300A">
        <w:rPr>
          <w:rFonts w:ascii="Times New Roman" w:hAnsi="Times New Roman" w:cs="Times New Roman"/>
          <w:sz w:val="28"/>
          <w:szCs w:val="28"/>
          <w:lang w:val="en-US"/>
        </w:rPr>
        <w:t>LASSELSBERGER</w:t>
      </w:r>
      <w:r w:rsidRPr="00C6300A">
        <w:rPr>
          <w:rFonts w:ascii="Times New Roman" w:hAnsi="Times New Roman" w:cs="Times New Roman"/>
          <w:sz w:val="28"/>
          <w:szCs w:val="28"/>
        </w:rPr>
        <w:t xml:space="preserve"> (Австрия), реализующая новый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 xml:space="preserve">инвестиционный проект, который позволит увеличить объем производства в несколько раз. </w:t>
      </w:r>
    </w:p>
    <w:p w:rsidR="00C6300A" w:rsidRPr="00C6300A" w:rsidRDefault="00C6300A" w:rsidP="00C6300A">
      <w:pPr>
        <w:tabs>
          <w:tab w:val="left" w:pos="651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На предприят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ии  ООО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«Новые технологии»  за 2018 год в цехе обжига и сушки концентратов переработано и отправлено на металлургические комбинаты полиметаллических концентратов 45,7 тыс. тонн, что на 23% больше 2017 года. Цехом по производству стекло-магнезитовых листов реализовано 702 листа.  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АО «Южуралмост» обособленное подразделение «Пластовский участок», созданный на базе Пластовского ДРСУ, в 2018 году продолжал работать по  содержанию автомобильных дорог Челябинской области (Пластовский куст) протяженностью 283 км.</w:t>
      </w:r>
    </w:p>
    <w:p w:rsidR="00C6300A" w:rsidRPr="00C6300A" w:rsidRDefault="00C6300A" w:rsidP="00C6300A">
      <w:pPr>
        <w:tabs>
          <w:tab w:val="left" w:pos="6510"/>
        </w:tabs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6</w:t>
      </w:r>
    </w:p>
    <w:p w:rsidR="00C6300A" w:rsidRPr="00C6300A" w:rsidRDefault="00C6300A" w:rsidP="00C6300A">
      <w:pPr>
        <w:tabs>
          <w:tab w:val="left" w:pos="6510"/>
        </w:tabs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72175" cy="38862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6300A" w:rsidRPr="00C6300A" w:rsidRDefault="00C6300A" w:rsidP="00C6300A">
      <w:pPr>
        <w:tabs>
          <w:tab w:val="left" w:pos="6510"/>
        </w:tabs>
        <w:spacing w:after="0" w:line="360" w:lineRule="auto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7</w:t>
      </w:r>
    </w:p>
    <w:p w:rsidR="00C6300A" w:rsidRPr="00C6300A" w:rsidRDefault="00C6300A" w:rsidP="00C6300A">
      <w:pPr>
        <w:tabs>
          <w:tab w:val="left" w:pos="65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05525" cy="340995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300A" w:rsidRPr="00C6300A" w:rsidRDefault="00C6300A" w:rsidP="00C6300A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8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67425" cy="35909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</w:p>
    <w:p w:rsidR="00C6300A" w:rsidRPr="00C6300A" w:rsidRDefault="00C6300A" w:rsidP="00C6300A">
      <w:pPr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Таблица 5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t xml:space="preserve">КРУПНЫЕ И СРЕДНИЕ ПРЕДПРИЯТИЯ 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00A">
        <w:rPr>
          <w:rFonts w:ascii="Times New Roman" w:hAnsi="Times New Roman" w:cs="Times New Roman"/>
          <w:b/>
          <w:sz w:val="26"/>
          <w:szCs w:val="26"/>
        </w:rPr>
        <w:t>ПЛАСТОВСКОГО МУНИЦИПАЛЬНОГО РАЙОНА</w:t>
      </w:r>
    </w:p>
    <w:p w:rsidR="00C6300A" w:rsidRPr="00C6300A" w:rsidRDefault="00C6300A" w:rsidP="00C6300A">
      <w:pPr>
        <w:spacing w:after="0"/>
        <w:ind w:hanging="1134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8"/>
        <w:gridCol w:w="8198"/>
      </w:tblGrid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C6300A">
              <w:rPr>
                <w:rFonts w:ascii="Times New Roman" w:hAnsi="Times New Roman" w:cs="Times New Roman"/>
                <w:b/>
              </w:rPr>
              <w:lastRenderedPageBreak/>
              <w:t>предприятия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lastRenderedPageBreak/>
              <w:t>Информация о предприятии</w:t>
            </w:r>
          </w:p>
        </w:tc>
      </w:tr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  <w:b/>
              </w:rPr>
              <w:lastRenderedPageBreak/>
              <w:t xml:space="preserve">АО «Южуралзолото Группа </w:t>
            </w:r>
            <w:proofErr w:type="spellStart"/>
            <w:r w:rsidRPr="00C6300A">
              <w:rPr>
                <w:rFonts w:ascii="Times New Roman" w:hAnsi="Times New Roman" w:cs="Times New Roman"/>
                <w:b/>
              </w:rPr>
              <w:t>Компаниий</w:t>
            </w:r>
            <w:proofErr w:type="spellEnd"/>
            <w:r w:rsidRPr="00C6300A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spacing w:after="0"/>
              <w:ind w:firstLine="30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Месторождениями, определяющими минерально-сырьевой потенциал области, являются Кочкарское, </w:t>
            </w:r>
            <w:proofErr w:type="spellStart"/>
            <w:r w:rsidRPr="00C6300A">
              <w:rPr>
                <w:rFonts w:ascii="Times New Roman" w:hAnsi="Times New Roman" w:cs="Times New Roman"/>
              </w:rPr>
              <w:t>Светлинское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Березняковское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, Южный и Западный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Курасан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– разработку всех этих месторождений осуществляет АО «ЮГК». Доля компании в общей золотодобыче области составляет 98,5 %. В Пластовском муниципальном районе находятся 2 месторождения: Кочкарское и </w:t>
            </w:r>
            <w:proofErr w:type="spellStart"/>
            <w:r w:rsidRPr="00C6300A">
              <w:rPr>
                <w:rFonts w:ascii="Times New Roman" w:hAnsi="Times New Roman" w:cs="Times New Roman"/>
              </w:rPr>
              <w:t>Светлинское</w:t>
            </w:r>
            <w:proofErr w:type="spellEnd"/>
            <w:r w:rsidRPr="00C6300A">
              <w:rPr>
                <w:rFonts w:ascii="Times New Roman" w:hAnsi="Times New Roman" w:cs="Times New Roman"/>
              </w:rPr>
              <w:t>.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АО «Южуралзолото Группа Компаний» осуществляет свою деятельность по следующим основным направлениям: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 добыча золотосодержащей руды подземным способом в пределах Кочкарского месторождения;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- добыча золотосодержащей руды открытым способом в пределах Светлинского месторождения;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- разведка и опытно-промышленная разработка открытым способом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Березняковского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месторождения;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- добыча рудного золота на месторождении </w:t>
            </w:r>
            <w:proofErr w:type="gramStart"/>
            <w:r w:rsidRPr="00C6300A">
              <w:rPr>
                <w:rFonts w:ascii="Times New Roman" w:hAnsi="Times New Roman" w:cs="Times New Roman"/>
              </w:rPr>
              <w:t>Западный</w:t>
            </w:r>
            <w:proofErr w:type="gramEnd"/>
            <w:r w:rsidRPr="00C630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Курасан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и Южный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Курасан</w:t>
            </w:r>
            <w:proofErr w:type="spellEnd"/>
            <w:r w:rsidRPr="00C6300A">
              <w:rPr>
                <w:rFonts w:ascii="Times New Roman" w:hAnsi="Times New Roman" w:cs="Times New Roman"/>
              </w:rPr>
              <w:t>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- переработка собственной и давальческой золотосодержащей руды на трех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золотоизвлекательных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фабриках (ЗИФ Кочкарская, ЗИФ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Березняковская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и ФЗЦО им. Артема);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- переработка золотосодержащей руды проводится на установках кучного выщелачивания на двух  месторождениях: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Березняковское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и Западный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Курасан</w:t>
            </w:r>
            <w:proofErr w:type="spellEnd"/>
            <w:r w:rsidRPr="00C6300A">
              <w:rPr>
                <w:rFonts w:ascii="Times New Roman" w:hAnsi="Times New Roman" w:cs="Times New Roman"/>
              </w:rPr>
              <w:t>;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6300A">
              <w:rPr>
                <w:rFonts w:ascii="Times New Roman" w:hAnsi="Times New Roman" w:cs="Times New Roman"/>
              </w:rPr>
              <w:t xml:space="preserve">- проведение геологоразведочных работ на рудное золото на глубоких горизонтах Кочкарского месторождения, флангах Светлинского месторождения,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Березняковского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 месторождения, месторождений Западный и Южный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Курасан</w:t>
            </w:r>
            <w:proofErr w:type="spellEnd"/>
            <w:r w:rsidRPr="00C6300A">
              <w:rPr>
                <w:rFonts w:ascii="Times New Roman" w:hAnsi="Times New Roman" w:cs="Times New Roman"/>
              </w:rPr>
              <w:t>, на участке «</w:t>
            </w:r>
            <w:proofErr w:type="spellStart"/>
            <w:r w:rsidRPr="00C6300A">
              <w:rPr>
                <w:rFonts w:ascii="Times New Roman" w:hAnsi="Times New Roman" w:cs="Times New Roman"/>
              </w:rPr>
              <w:t>Алтынташ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Наилинском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6300A">
              <w:rPr>
                <w:rFonts w:ascii="Times New Roman" w:hAnsi="Times New Roman" w:cs="Times New Roman"/>
              </w:rPr>
              <w:t>Северо-Светлинском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Осейском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участках, в районе хутора Пчельник.</w:t>
            </w:r>
          </w:p>
        </w:tc>
      </w:tr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ООО «Новые Технологии»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ООО «Новые Технологии» основано в конце 2011 года. Это одно из динамично развивающихся предприятий Челябинской области. В сентябре 2012 года было принято решение о строительстве цеха по производству </w:t>
            </w:r>
            <w:proofErr w:type="spellStart"/>
            <w:r w:rsidRPr="00C6300A">
              <w:rPr>
                <w:rFonts w:ascii="Times New Roman" w:hAnsi="Times New Roman" w:cs="Times New Roman"/>
              </w:rPr>
              <w:t>стекломагнезитовых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листов СМЛ – Пласт, а 28 мая 2013 года была торжественно пущена линия по изготовлению СМЛ.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Основными задачам</w:t>
            </w:r>
            <w:proofErr w:type="gramStart"/>
            <w:r w:rsidRPr="00C6300A">
              <w:rPr>
                <w:rFonts w:ascii="Times New Roman" w:hAnsi="Times New Roman" w:cs="Times New Roman"/>
              </w:rPr>
              <w:t>и ООО</w:t>
            </w:r>
            <w:proofErr w:type="gramEnd"/>
            <w:r w:rsidRPr="00C6300A">
              <w:rPr>
                <w:rFonts w:ascii="Times New Roman" w:hAnsi="Times New Roman" w:cs="Times New Roman"/>
              </w:rPr>
              <w:t xml:space="preserve"> «Новые Технологии» являются: использование инновационных, экологически чистых и ресурсосберегающих технологий. 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С 2013 года на заводе производят листы СМЛ (</w:t>
            </w:r>
            <w:proofErr w:type="spellStart"/>
            <w:r w:rsidRPr="00C6300A">
              <w:rPr>
                <w:rFonts w:ascii="Times New Roman" w:hAnsi="Times New Roman" w:cs="Times New Roman"/>
              </w:rPr>
              <w:t>стекломагнизитовые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листы).</w:t>
            </w:r>
          </w:p>
          <w:p w:rsidR="00C6300A" w:rsidRPr="00C6300A" w:rsidRDefault="00C6300A" w:rsidP="00C6300A">
            <w:pPr>
              <w:spacing w:after="0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Восстановлено производство окислительного обжига полиметаллического сульфидного концентрата с помощью двух печей Г-38 производительностью 12 тыс. тонн в год каждая. В настоящее время производится обжиг золотосодержащего концентрата. Кроме того, ведутся работы по увеличению объемов производства, внедрению экологического мониторинга с целью снижения негативного воздействия на окружающую среду. </w:t>
            </w:r>
          </w:p>
        </w:tc>
      </w:tr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ООО «Пласт-Рифей»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pStyle w:val="aa"/>
              <w:spacing w:line="240" w:lineRule="auto"/>
              <w:ind w:left="0"/>
              <w:rPr>
                <w:szCs w:val="24"/>
              </w:rPr>
            </w:pPr>
            <w:r w:rsidRPr="00C6300A">
              <w:rPr>
                <w:szCs w:val="24"/>
              </w:rPr>
              <w:t>ООО «Пласт-Рифей»  осуществляет свою деятельность с 1992 года, и разрабатывает самое крупное месторождение каолинов в России - Журавлиный Лог</w:t>
            </w:r>
            <w:r w:rsidRPr="00C6300A">
              <w:rPr>
                <w:rFonts w:eastAsia="Times New Roman"/>
                <w:szCs w:val="24"/>
              </w:rPr>
              <w:t xml:space="preserve">. </w:t>
            </w:r>
            <w:r w:rsidRPr="00C6300A">
              <w:rPr>
                <w:szCs w:val="24"/>
              </w:rPr>
              <w:t xml:space="preserve">В своей производственной деятельности предприятие направляет все усилия на рациональное использование природных ресурсов. Предприятие имеет обогатительное производство, технологическую линию по производству </w:t>
            </w:r>
            <w:proofErr w:type="spellStart"/>
            <w:r w:rsidRPr="00C6300A">
              <w:rPr>
                <w:szCs w:val="24"/>
              </w:rPr>
              <w:t>метакаолина</w:t>
            </w:r>
            <w:proofErr w:type="spellEnd"/>
            <w:r w:rsidRPr="00C6300A">
              <w:rPr>
                <w:szCs w:val="24"/>
              </w:rPr>
              <w:t xml:space="preserve"> (термическая обработка обогащенного каолина), производственную лабораторию, осуществляющую контроль качества продуктов обогащения и проведение исследовательских работ по новым  направлениям.</w:t>
            </w:r>
          </w:p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Месторождение Журавлиный Лог содержит более 60 млн. тонн разведанных запасов первичных каолинов. На месторождении выделено пять крупных залежей </w:t>
            </w:r>
            <w:r w:rsidRPr="00C6300A">
              <w:rPr>
                <w:rFonts w:ascii="Times New Roman" w:hAnsi="Times New Roman" w:cs="Times New Roman"/>
              </w:rPr>
              <w:lastRenderedPageBreak/>
              <w:t>высококачественных каолинов, пригодных для производства качественных каолиновых концентратов, отвечающих требованиям различных отраслей промышленности. В зависимости от материнских пород каолины подразделены на природные типы:</w:t>
            </w:r>
            <w:r w:rsidRPr="00C6300A">
              <w:rPr>
                <w:rFonts w:ascii="Times New Roman" w:hAnsi="Times New Roman" w:cs="Times New Roman"/>
              </w:rPr>
              <w:br/>
              <w:t>— нормальные каолины по гранитам,</w:t>
            </w:r>
            <w:r w:rsidRPr="00C6300A">
              <w:rPr>
                <w:rFonts w:ascii="Times New Roman" w:hAnsi="Times New Roman" w:cs="Times New Roman"/>
              </w:rPr>
              <w:br/>
              <w:t>— щелочные каолины по гранитам,</w:t>
            </w:r>
            <w:r w:rsidRPr="00C6300A">
              <w:rPr>
                <w:rFonts w:ascii="Times New Roman" w:hAnsi="Times New Roman" w:cs="Times New Roman"/>
              </w:rPr>
              <w:br/>
              <w:t>— нормальные каолины по гнейсам.</w:t>
            </w:r>
          </w:p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Уникальность месторождения заключается в наличии на месторождении каолинов различных по химическому и минералогическому составу, а также кварцевых песков с минимальным содержанием красящих оксидов, что позволяет предприятию выпускать не только качественные каолиновые и кварцевые концентраты, но и </w:t>
            </w:r>
            <w:proofErr w:type="spellStart"/>
            <w:r w:rsidRPr="00C6300A">
              <w:rPr>
                <w:rFonts w:ascii="Times New Roman" w:hAnsi="Times New Roman" w:cs="Times New Roman"/>
              </w:rPr>
              <w:t>миксы</w:t>
            </w:r>
            <w:proofErr w:type="spellEnd"/>
            <w:r w:rsidRPr="00C6300A">
              <w:rPr>
                <w:rFonts w:ascii="Times New Roman" w:hAnsi="Times New Roman" w:cs="Times New Roman"/>
              </w:rPr>
              <w:t xml:space="preserve"> песка и каолина. </w:t>
            </w:r>
          </w:p>
        </w:tc>
      </w:tr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lastRenderedPageBreak/>
              <w:t>Пластовское муниципальное ПМОКХ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Предприятие работает на территории Пластовского муниципального района уже более 65 лет.</w:t>
            </w:r>
          </w:p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ПМОКХ осуществляет деятельность по очистке дорог от снега, вывозу снега от обочин дорог, обслуживанию электросетей уличного освещения, содержанию и уходу за зелеными насаждениями, посадке деревьев, разбивке цветников, очистке города от несанкционированных свалок и твердых бытовых отходов, содержанию банного комплекса и многое другое. </w:t>
            </w:r>
          </w:p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ПМОКХ является одним из стабильно работающих в городе предприятий коммунального хозяйства. </w:t>
            </w:r>
          </w:p>
        </w:tc>
      </w:tr>
      <w:tr w:rsidR="00C6300A" w:rsidRPr="00C6300A" w:rsidTr="00970CA7">
        <w:tc>
          <w:tcPr>
            <w:tcW w:w="1938" w:type="dxa"/>
          </w:tcPr>
          <w:p w:rsidR="00C6300A" w:rsidRPr="00C6300A" w:rsidRDefault="00C6300A" w:rsidP="00C6300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6300A">
              <w:rPr>
                <w:rFonts w:ascii="Times New Roman" w:hAnsi="Times New Roman" w:cs="Times New Roman"/>
                <w:b/>
              </w:rPr>
              <w:t>ООО «Районная Управляющая Компания»</w:t>
            </w:r>
          </w:p>
        </w:tc>
        <w:tc>
          <w:tcPr>
            <w:tcW w:w="8201" w:type="dxa"/>
          </w:tcPr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C6300A">
              <w:rPr>
                <w:rFonts w:ascii="Times New Roman" w:hAnsi="Times New Roman" w:cs="Times New Roman"/>
                <w:bCs/>
                <w:color w:val="000000"/>
              </w:rPr>
              <w:t>ООО «Районная управляющая компания» и группа коммунальных предприятий ООО «Теплосервис», ООО «Жилсервис», ООО «Водоотведение», ООО «Коммунальный транспорт» осуществляют деятельность по предоставлению жилищных и коммунальных услуг на территории Пластовского муниципального района.</w:t>
            </w:r>
          </w:p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C6300A">
              <w:rPr>
                <w:rFonts w:ascii="Times New Roman" w:hAnsi="Times New Roman" w:cs="Times New Roman"/>
              </w:rPr>
              <w:t>ООО «Районная управляющая компания» производит тепловую энергию (11 котельных), является управляющей организацией по многоквартирным домам.</w:t>
            </w:r>
          </w:p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C6300A">
              <w:rPr>
                <w:rFonts w:ascii="Times New Roman" w:hAnsi="Times New Roman" w:cs="Times New Roman"/>
              </w:rPr>
              <w:t xml:space="preserve">ООО «Теплосервис», предприятие является организацией по транспортировке тепловой энергии. Общая протяженность тепловых сетей составляет </w:t>
            </w:r>
            <w:smartTag w:uri="urn:schemas-microsoft-com:office:smarttags" w:element="metricconverter">
              <w:smartTagPr>
                <w:attr w:name="ProductID" w:val="31,6 км"/>
              </w:smartTagPr>
              <w:r w:rsidRPr="00C6300A">
                <w:rPr>
                  <w:rFonts w:ascii="Times New Roman" w:hAnsi="Times New Roman" w:cs="Times New Roman"/>
                </w:rPr>
                <w:t>31,6 км</w:t>
              </w:r>
            </w:smartTag>
            <w:r w:rsidRPr="00C6300A">
              <w:rPr>
                <w:rFonts w:ascii="Times New Roman" w:hAnsi="Times New Roman" w:cs="Times New Roman"/>
              </w:rPr>
              <w:t>.</w:t>
            </w:r>
          </w:p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C6300A">
              <w:rPr>
                <w:rFonts w:ascii="Times New Roman" w:hAnsi="Times New Roman" w:cs="Times New Roman"/>
              </w:rPr>
              <w:t>ООО «Жилсервис» обслуживает жилищный фонд. Общая площадь обслуживаемого жилищного фонда составляет более 185 тыс.кв.м.</w:t>
            </w:r>
          </w:p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 xml:space="preserve">ООО «Водоотведение» оказывает услуги по централизованному водоотведению. В составе предприятия находятся очистные сооружения и 4 </w:t>
            </w:r>
            <w:proofErr w:type="gramStart"/>
            <w:r w:rsidRPr="00C6300A">
              <w:rPr>
                <w:rFonts w:ascii="Times New Roman" w:hAnsi="Times New Roman" w:cs="Times New Roman"/>
              </w:rPr>
              <w:t>насосных</w:t>
            </w:r>
            <w:proofErr w:type="gramEnd"/>
            <w:r w:rsidRPr="00C6300A">
              <w:rPr>
                <w:rFonts w:ascii="Times New Roman" w:hAnsi="Times New Roman" w:cs="Times New Roman"/>
              </w:rPr>
              <w:t xml:space="preserve"> станции. </w:t>
            </w:r>
          </w:p>
          <w:p w:rsidR="00C6300A" w:rsidRPr="00C6300A" w:rsidRDefault="00C6300A" w:rsidP="00C6300A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C6300A">
              <w:rPr>
                <w:rFonts w:ascii="Times New Roman" w:hAnsi="Times New Roman" w:cs="Times New Roman"/>
              </w:rPr>
              <w:t>ООО «Коммунальный транспорт» оказывает услуги по вывозу жидких бытовых отходов, вывозу и захоронению твердых бытовых услуг.</w:t>
            </w:r>
          </w:p>
        </w:tc>
      </w:tr>
    </w:tbl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Объем инвестиций.</w:t>
      </w:r>
      <w:r w:rsidRPr="00C6300A">
        <w:rPr>
          <w:rFonts w:ascii="Times New Roman" w:hAnsi="Times New Roman" w:cs="Times New Roman"/>
        </w:rPr>
        <w:t xml:space="preserve"> </w:t>
      </w:r>
      <w:r w:rsidRPr="00C6300A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C6300A">
        <w:rPr>
          <w:rFonts w:ascii="Times New Roman" w:hAnsi="Times New Roman" w:cs="Times New Roman"/>
          <w:color w:val="000000"/>
          <w:sz w:val="28"/>
          <w:szCs w:val="28"/>
        </w:rPr>
        <w:t>стабильная</w:t>
      </w:r>
      <w:r w:rsidRPr="00C630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300A">
        <w:rPr>
          <w:rFonts w:ascii="Times New Roman" w:hAnsi="Times New Roman" w:cs="Times New Roman"/>
          <w:sz w:val="28"/>
          <w:szCs w:val="28"/>
        </w:rPr>
        <w:t xml:space="preserve"> динамика инвестиций в основной капитал.  Значительный рост объема инвестиций в основной капитал зафиксирован в 2018 году. </w:t>
      </w: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9</w:t>
      </w: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353175" cy="33909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Строительство. </w:t>
      </w:r>
      <w:r w:rsidRPr="00C6300A">
        <w:rPr>
          <w:rFonts w:ascii="Times New Roman" w:hAnsi="Times New Roman" w:cs="Times New Roman"/>
          <w:sz w:val="28"/>
          <w:szCs w:val="28"/>
        </w:rPr>
        <w:t>В Пласте продолжается  активное строительство многоквартирных жилых домов, индивидуального жилья, ведется подготовка земельных участков для целей многоквартирного и индивидуального строительства (межевание, планировка, разработка проектно-сметной документации).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Cs/>
          <w:sz w:val="28"/>
          <w:szCs w:val="28"/>
        </w:rPr>
        <w:t xml:space="preserve">За 2018 год введено в эксплуатацию 9451,7 кв. метров жилья, </w:t>
      </w:r>
      <w:r w:rsidRPr="00C6300A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C6300A" w:rsidRPr="00C6300A" w:rsidRDefault="00C6300A" w:rsidP="00C6300A">
      <w:pPr>
        <w:pStyle w:val="aa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6300A">
        <w:rPr>
          <w:sz w:val="28"/>
          <w:szCs w:val="28"/>
        </w:rPr>
        <w:t>многоквартирного – 2625,7 кв.м.  (дом по ул. Сумина, 3)</w:t>
      </w:r>
    </w:p>
    <w:p w:rsidR="00C6300A" w:rsidRPr="00C6300A" w:rsidRDefault="00C6300A" w:rsidP="00C6300A">
      <w:pPr>
        <w:pStyle w:val="aa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6300A">
        <w:rPr>
          <w:sz w:val="28"/>
          <w:szCs w:val="28"/>
        </w:rPr>
        <w:t xml:space="preserve"> индивидуального – 6826,0 кв. м.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00A">
        <w:rPr>
          <w:rFonts w:ascii="Times New Roman" w:hAnsi="Times New Roman" w:cs="Times New Roman"/>
          <w:sz w:val="28"/>
          <w:szCs w:val="28"/>
        </w:rPr>
        <w:t xml:space="preserve">28 семей или 62 человека переселены из аварийного жилищного фонда, признанного непригодным для проживания. </w:t>
      </w:r>
      <w:proofErr w:type="gramEnd"/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В 2018 году было вручено 20 сертификатов молодым семьям в рамках государственной поддержки для улучшения жилищных условий на сумму 12 млн. 926 тыс. рублей. 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настоящее время ведется строительство 1 секции 5-ти этажного дома по ул. Сумина, 5.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t xml:space="preserve">Завершены работы по газоснабжению малоэтажной жилой застройки 12 очереди в городе Пласт. Появилась возможность  газифицировать   278 дома.  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t>Выполнены работы по газоснабжению жилых домов в селе Чукса. Протяженность подземных газовых сетей составила  4 250  м., что позволит газифицировать  48 жилых домов.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Дополнительно в стадии разработки проектно-сметная документация по объекту межпоселкового газопровода высокого давления   участок  с. Котлик,- с. Кумляк, - с. Н. Кумляк, </w:t>
      </w:r>
      <w:proofErr w:type="gramStart"/>
      <w:r w:rsidRPr="00C6300A">
        <w:rPr>
          <w:rFonts w:ascii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C6300A">
        <w:rPr>
          <w:rFonts w:ascii="Times New Roman" w:hAnsi="Times New Roman" w:cs="Times New Roman"/>
          <w:color w:val="000000"/>
          <w:sz w:val="28"/>
          <w:szCs w:val="28"/>
        </w:rPr>
        <w:t>. Кукушка. В этом году будут проведены работы по подводу к селам газовых сетей.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t>Проведен капитальный ремонт и техническое обслуживание сетей газоснабжения Пластовского городского поселения на сумму 959,2 тыс. руб., в том числе работы по замене  ШРП №2 и  переносу участка  газопровода  высокого давления по  ул. Заводской.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t>Общая протяженность построенных газовых сетей в 2018 году на территории Пластовского муниципального района составила  18 км. 516  м.</w:t>
      </w:r>
    </w:p>
    <w:p w:rsidR="00C6300A" w:rsidRPr="00C6300A" w:rsidRDefault="00C6300A" w:rsidP="00C630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Подключено к газу 236 квартир и домов.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10</w:t>
      </w: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368617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C6300A">
        <w:rPr>
          <w:rFonts w:ascii="Times New Roman" w:hAnsi="Times New Roman" w:cs="Times New Roman"/>
          <w:sz w:val="26"/>
          <w:szCs w:val="26"/>
        </w:rPr>
        <w:tab/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Сельское хозяйство </w:t>
      </w:r>
      <w:r w:rsidRPr="00C6300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6300A">
        <w:rPr>
          <w:rFonts w:ascii="Times New Roman" w:hAnsi="Times New Roman" w:cs="Times New Roman"/>
          <w:sz w:val="28"/>
          <w:szCs w:val="28"/>
        </w:rPr>
        <w:t xml:space="preserve">образует 6 основных </w:t>
      </w:r>
      <w:proofErr w:type="spellStart"/>
      <w:proofErr w:type="gramStart"/>
      <w:r w:rsidRPr="00C6300A">
        <w:rPr>
          <w:rFonts w:ascii="Times New Roman" w:hAnsi="Times New Roman" w:cs="Times New Roman"/>
          <w:sz w:val="28"/>
          <w:szCs w:val="28"/>
        </w:rPr>
        <w:t>сельско-хозяйственных</w:t>
      </w:r>
      <w:proofErr w:type="spellEnd"/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предприятий: КФХ «ЛУЧ»,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Ф)Х «Молчанов А.В.», ООО «Совхоз Степной», ООО «Борисовский», ООО «Время», СПК «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Коелгинское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» и более 80 мелких крестьянско- фермерских хозяйств.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Поголовье крупного рогатого скота в 2018 году составило 1603 головы, что больше на 19 голов в 2017 году.</w:t>
      </w:r>
    </w:p>
    <w:p w:rsidR="00C6300A" w:rsidRPr="00C6300A" w:rsidRDefault="00C6300A" w:rsidP="00C6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2018 году увеличилось валовое производство молока – 2887,9 тонн молока.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Посевная площадь по району составила 34748 га, что на  1,3% больше к уровню 2017 года  (2017г.- 34273 га). </w:t>
      </w:r>
    </w:p>
    <w:p w:rsidR="00C6300A" w:rsidRPr="00C6300A" w:rsidRDefault="00C6300A" w:rsidP="00C63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Картофеля  посажено на площади 260 га, что на 2% больше 2017 года. Валовый сбор в текущем году увеличился на 270 тонн и составил 4365 тонн. Урожайность – 168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/га, что больше на 7,0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/га.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Обработано залежных земель в 2018 году – 695 га.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районе хозяйствами  было приобретено 12 единиц новой техники, в том числе: 2 комбайна, 1 трактор, 2 плуга, 1 сеялка  и  др. техника.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11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36"/>
          <w:szCs w:val="36"/>
        </w:rPr>
        <w:t xml:space="preserve"> </w:t>
      </w:r>
      <w:r w:rsidRPr="00C63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24574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12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648325" cy="3590925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Малый бизнес.  </w:t>
      </w:r>
      <w:r w:rsidRPr="00C6300A">
        <w:rPr>
          <w:rFonts w:ascii="Times New Roman" w:hAnsi="Times New Roman" w:cs="Times New Roman"/>
          <w:sz w:val="28"/>
          <w:szCs w:val="28"/>
        </w:rPr>
        <w:t xml:space="preserve">В районе работает 615 субъектов малого и среднего бизнеса. 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Малый бизнес не только существенно пополняет бюджет района, но и решает проблему удовлетворения потребностей населения и занятости. Сегодня - это более 18% доходов районного бюджета, 30% работающих.</w:t>
      </w:r>
    </w:p>
    <w:p w:rsidR="00C6300A" w:rsidRPr="00C6300A" w:rsidRDefault="00C6300A" w:rsidP="00C6300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рамках муниципальной программы п</w:t>
      </w:r>
      <w:r w:rsidRPr="00C6300A">
        <w:rPr>
          <w:rFonts w:ascii="Times New Roman" w:hAnsi="Times New Roman" w:cs="Times New Roman"/>
          <w:bCs/>
          <w:sz w:val="28"/>
          <w:szCs w:val="28"/>
        </w:rPr>
        <w:t>редпринимателям оказана информационная, консультационная, административно-организационная  поддержка: проведено 8 семинаров и 3 круглых стола  с участием представителей  контрольно-надзорных  органов власти.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00A">
        <w:rPr>
          <w:rFonts w:ascii="Times New Roman" w:hAnsi="Times New Roman" w:cs="Times New Roman"/>
          <w:bCs/>
          <w:sz w:val="28"/>
          <w:szCs w:val="28"/>
        </w:rPr>
        <w:t xml:space="preserve">В честь празднования Дня российского предпринимательства в 2018 году проведен 9-й съезд предпринимателей. 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00A">
        <w:rPr>
          <w:rFonts w:ascii="Times New Roman" w:hAnsi="Times New Roman" w:cs="Times New Roman"/>
          <w:bCs/>
          <w:sz w:val="28"/>
          <w:szCs w:val="28"/>
        </w:rPr>
        <w:t>Обеспечено выполнение требования Федерального закона о минимальной доле закупок у субъектов малого предпринимательства в совокупном годовом объеме закупок, рассчитанном с учетом требований части 1.1 статьи 30 (не менее 15%). Так, в Пластовском муниципальном районе доля закупок у субъектов малого предпринимательства за 2018 год составила 30%.</w:t>
      </w:r>
    </w:p>
    <w:p w:rsidR="00C6300A" w:rsidRPr="00C6300A" w:rsidRDefault="00C6300A" w:rsidP="00C6300A">
      <w:pPr>
        <w:pStyle w:val="ConsPlusNormal"/>
        <w:widowControl/>
        <w:spacing w:line="360" w:lineRule="auto"/>
        <w:ind w:firstLine="53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В районе и поселениях утверждены перечни муниципального недвижимого имущества, предназначенного для передачи в пользование субъектам малого и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 xml:space="preserve">среднего предпринимательства, который актуализируется по мере необходимости. </w:t>
      </w:r>
    </w:p>
    <w:p w:rsidR="00C6300A" w:rsidRPr="00C6300A" w:rsidRDefault="00C6300A" w:rsidP="00C6300A">
      <w:pPr>
        <w:pStyle w:val="ConsPlusNormal"/>
        <w:widowControl/>
        <w:spacing w:line="360" w:lineRule="auto"/>
        <w:ind w:firstLine="53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перечни на сегодняшний день включены 22 объекта.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По итогам 2018 года Пластовский муниципальный район занял 2 место в рейтинге по достижению показателей целевой модели «Постановка на государственный кадастровый учет земельных участков и объектов недвижимого имущества».</w:t>
      </w:r>
    </w:p>
    <w:p w:rsidR="00C6300A" w:rsidRPr="00C6300A" w:rsidRDefault="00C6300A" w:rsidP="00C6300A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13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Направления деятельности в общем объеме малого и среднего бизнеса</w:t>
      </w:r>
    </w:p>
    <w:p w:rsidR="00C6300A" w:rsidRPr="00C6300A" w:rsidRDefault="00C6300A" w:rsidP="00C630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1857375"/>
            <wp:effectExtent l="0" t="0" r="0" b="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Потребительский рынок. </w:t>
      </w:r>
      <w:r w:rsidRPr="00C6300A">
        <w:rPr>
          <w:rFonts w:ascii="Times New Roman" w:hAnsi="Times New Roman" w:cs="Times New Roman"/>
          <w:sz w:val="28"/>
          <w:szCs w:val="28"/>
        </w:rPr>
        <w:t>Потребительский рынок в настоящее время характеризуется стабильностью, устойчивостью, высокой степенью товарной насыщенности и положительной динамикой развития. Торговые предприятия обеспечивают спрос покупателей на продукты питания и промышленные изделия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динамичными темпами развивалась сеть торговых объектов, объектов бытового обслуживания и общественного питания, что положительно сказалось на выполнении нормативов государственных социальных стандартов. </w:t>
      </w:r>
    </w:p>
    <w:p w:rsidR="00C6300A" w:rsidRPr="00C6300A" w:rsidRDefault="00C6300A" w:rsidP="00C6300A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На потребительском рынке Пластовского муниципального района по состоянию на 1 января 2019 года осуществляют деятельность 211 предприятий розничной торговли, общая площадь составляет 31254,98 кв.м., торговая площадь 21606,16 кв.м.</w:t>
      </w:r>
    </w:p>
    <w:p w:rsidR="00C6300A" w:rsidRPr="00C6300A" w:rsidRDefault="00C6300A" w:rsidP="00C630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 xml:space="preserve">Состояние розничной торговой сети оценивается уровнем обеспеченности населения торговыми площадями. Показатели обеспеченности населения района торговыми площадями составляют 860 кв.м. на 1 тысячу жителей, что в 2 раза выше установленного норматива (409,31 кв.м.)  в соответствии с требованиями </w:t>
      </w:r>
      <w:r w:rsidRPr="00C6300A">
        <w:rPr>
          <w:rFonts w:ascii="Times New Roman" w:hAnsi="Times New Roman" w:cs="Times New Roman"/>
          <w:sz w:val="28"/>
          <w:szCs w:val="28"/>
        </w:rPr>
        <w:lastRenderedPageBreak/>
        <w:t>постановления Правительства Челябинской области от 20.12.2016 г. №682-П «О нормативах минимальной обеспеченности населения площадью торговых объектов для Челябинской области».</w:t>
      </w:r>
    </w:p>
    <w:p w:rsidR="00C6300A" w:rsidRPr="00C6300A" w:rsidRDefault="00C6300A" w:rsidP="00C630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</w:rPr>
        <w:t>Диаграмма 14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990975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>В Пластовском районе достаточно развит сегмент по оказанию услуг общественного питания населению.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ab/>
        <w:t>На  1 января 2019 года  осуществляют деятельность 22 объекта общественного питания общедоступной (открытой) сети на 881 посадочное место, в том числе 3 ресторана, 17 кафе и 2 столовые. Обеспеченность местами в общедоступных объектах общественного питания на 1000 жителей  – 35 мест.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Диаграмма 15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300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00775" cy="3238500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C630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</w:p>
    <w:p w:rsidR="00C6300A" w:rsidRPr="00C6300A" w:rsidRDefault="00C6300A" w:rsidP="00C6300A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</w:rPr>
        <w:t>Бытовые услуги в районе оказываются по 14 видам.</w:t>
      </w:r>
      <w:r w:rsidRPr="00C6300A">
        <w:rPr>
          <w:rFonts w:ascii="Times New Roman" w:hAnsi="Times New Roman" w:cs="Times New Roman"/>
          <w:color w:val="000000"/>
        </w:rPr>
        <w:t> </w:t>
      </w:r>
      <w:r w:rsidRPr="00C6300A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Наибольший удельный вес в разрезе видов оказываемых услуг жителям района приходится на парикмахерские услуги (27,3 процента), техническое обслуживание и ремонт автотранспортных средств (19,5 процентов), ремонт обуви, ремонт и пошив одежды (13 процентов), транспортно-экспедиторские </w:t>
      </w:r>
      <w:r w:rsidRPr="00C6300A">
        <w:rPr>
          <w:rFonts w:ascii="Times New Roman" w:hAnsi="Times New Roman" w:cs="Times New Roman"/>
          <w:sz w:val="28"/>
          <w:szCs w:val="28"/>
        </w:rPr>
        <w:t>услуги (7,8 процентов).</w:t>
      </w:r>
      <w:r w:rsidRPr="00C6300A">
        <w:rPr>
          <w:rFonts w:ascii="Times New Roman" w:hAnsi="Times New Roman" w:cs="Times New Roman"/>
        </w:rPr>
        <w:t> </w:t>
      </w:r>
    </w:p>
    <w:p w:rsidR="00C6300A" w:rsidRPr="00C6300A" w:rsidRDefault="00C6300A" w:rsidP="00C630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00A">
        <w:rPr>
          <w:rFonts w:ascii="Times New Roman" w:hAnsi="Times New Roman" w:cs="Times New Roman"/>
          <w:sz w:val="28"/>
          <w:szCs w:val="28"/>
        </w:rPr>
        <w:t>Бытовое обслуживание населения Пластовского муниципального района осуществляют 77 предприятий различной производственной направленности: из них  4 мебельных цеха, 21 объект по предоставлению услуг парикмахерскими и салонами красоты, 4 предприятия по оказанию ритуальных услуг, принадлежащих индивидуальным предпринимателям и 1 ПМ ПОМКХ, 1 – по оказанию банных услуг, 10 мастерских по ремонту обуви, ремонту и пошиву одежды, 15 – по техническому обслуживанию и ремонту автотранспортных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 средств, 2 – по ремонту  и обслуживанию бытовой техники и радиоэлектронной аппаратуры, 3 фотоателье, 1 ювелирная мастерская и др.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факторов, сдерживающих увеличение объемов бытового обслуживания, является наличие теневого рынка услуг, таких как </w:t>
      </w:r>
      <w:r w:rsidRPr="00C630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6300A">
        <w:rPr>
          <w:rFonts w:ascii="Times New Roman" w:hAnsi="Times New Roman" w:cs="Times New Roman"/>
          <w:sz w:val="28"/>
          <w:szCs w:val="28"/>
        </w:rPr>
        <w:t>услуг по ремонту жилья и электромонтажных  работ и др.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C6300A">
        <w:rPr>
          <w:rFonts w:ascii="Times New Roman" w:hAnsi="Times New Roman" w:cs="Times New Roman"/>
        </w:rPr>
        <w:t>Диаграмма 16</w:t>
      </w:r>
      <w:r w:rsidRPr="00C6300A">
        <w:rPr>
          <w:rFonts w:ascii="Times New Roman" w:hAnsi="Times New Roman" w:cs="Times New Roman"/>
          <w:sz w:val="28"/>
          <w:szCs w:val="28"/>
        </w:rPr>
        <w:t xml:space="preserve"> </w:t>
      </w:r>
      <w:r w:rsidRPr="00C6300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334125" cy="35052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300A" w:rsidRPr="00C6300A" w:rsidRDefault="00C6300A" w:rsidP="00C6300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/>
        <w:ind w:hanging="113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spacing w:after="0" w:line="360" w:lineRule="auto"/>
        <w:ind w:hanging="1134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>Глава 4.  УРОВЕНЬ РАЗВИТИЯ ИНФРАСТРУКТУРЫ</w:t>
      </w:r>
    </w:p>
    <w:p w:rsidR="00C6300A" w:rsidRPr="00C6300A" w:rsidRDefault="00C6300A" w:rsidP="00C6300A">
      <w:pPr>
        <w:spacing w:after="0" w:line="360" w:lineRule="auto"/>
        <w:ind w:hanging="1134"/>
        <w:rPr>
          <w:rFonts w:ascii="Times New Roman" w:hAnsi="Times New Roman" w:cs="Times New Roman"/>
          <w:b/>
          <w:sz w:val="26"/>
          <w:szCs w:val="26"/>
        </w:rPr>
      </w:pPr>
    </w:p>
    <w:p w:rsidR="00C6300A" w:rsidRPr="00C6300A" w:rsidRDefault="00C6300A" w:rsidP="00C6300A">
      <w:pPr>
        <w:pStyle w:val="31"/>
        <w:spacing w:line="360" w:lineRule="auto"/>
        <w:ind w:firstLine="851"/>
        <w:rPr>
          <w:szCs w:val="28"/>
        </w:rPr>
      </w:pPr>
      <w:r w:rsidRPr="00C6300A">
        <w:rPr>
          <w:szCs w:val="28"/>
        </w:rPr>
        <w:t>Пластовский муниципальный район характеризуется развитой инфраструктурой: транспортной, жизнеобеспечивающей (</w:t>
      </w:r>
      <w:proofErr w:type="spellStart"/>
      <w:r w:rsidRPr="00C6300A">
        <w:rPr>
          <w:szCs w:val="28"/>
        </w:rPr>
        <w:t>газ</w:t>
      </w:r>
      <w:proofErr w:type="gramStart"/>
      <w:r w:rsidRPr="00C6300A">
        <w:rPr>
          <w:szCs w:val="28"/>
        </w:rPr>
        <w:t>о</w:t>
      </w:r>
      <w:proofErr w:type="spellEnd"/>
      <w:r w:rsidRPr="00C6300A">
        <w:rPr>
          <w:szCs w:val="28"/>
        </w:rPr>
        <w:t>-</w:t>
      </w:r>
      <w:proofErr w:type="gramEnd"/>
      <w:r w:rsidRPr="00C6300A">
        <w:rPr>
          <w:szCs w:val="28"/>
        </w:rPr>
        <w:t xml:space="preserve">, </w:t>
      </w:r>
      <w:proofErr w:type="spellStart"/>
      <w:r w:rsidRPr="00C6300A">
        <w:rPr>
          <w:szCs w:val="28"/>
        </w:rPr>
        <w:t>водо</w:t>
      </w:r>
      <w:proofErr w:type="spellEnd"/>
      <w:r w:rsidRPr="00C6300A">
        <w:rPr>
          <w:szCs w:val="28"/>
        </w:rPr>
        <w:t>-, тепло- и электроснабжение), связью.</w:t>
      </w:r>
    </w:p>
    <w:p w:rsidR="00C6300A" w:rsidRPr="00C6300A" w:rsidRDefault="00C6300A" w:rsidP="00C630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 Транспортная инфраструктура.</w:t>
      </w:r>
      <w:r w:rsidRPr="00C6300A">
        <w:rPr>
          <w:rFonts w:ascii="Times New Roman" w:hAnsi="Times New Roman" w:cs="Times New Roman"/>
          <w:sz w:val="28"/>
          <w:szCs w:val="28"/>
        </w:rPr>
        <w:t xml:space="preserve"> Пластовский муниципальный район расположен в центре Челябинской области. В районе развита дорожная сеть, по территории района проходит автодорожная магистраль Челябинск-Магнитогорск.</w:t>
      </w:r>
    </w:p>
    <w:p w:rsidR="00C6300A" w:rsidRPr="00C6300A" w:rsidRDefault="00C6300A" w:rsidP="00C6300A">
      <w:pPr>
        <w:pStyle w:val="31"/>
        <w:spacing w:line="360" w:lineRule="auto"/>
        <w:ind w:firstLine="851"/>
        <w:rPr>
          <w:szCs w:val="28"/>
        </w:rPr>
      </w:pPr>
      <w:r w:rsidRPr="00C6300A">
        <w:rPr>
          <w:szCs w:val="28"/>
        </w:rPr>
        <w:t xml:space="preserve">Центр Пластовского муниципального района – г. Пласт, расположен в </w:t>
      </w:r>
      <w:smartTag w:uri="urn:schemas-microsoft-com:office:smarttags" w:element="metricconverter">
        <w:smartTagPr>
          <w:attr w:name="ProductID" w:val="100 км"/>
        </w:smartTagPr>
        <w:r w:rsidRPr="00C6300A">
          <w:rPr>
            <w:szCs w:val="28"/>
          </w:rPr>
          <w:t>100 км</w:t>
        </w:r>
      </w:smartTag>
      <w:r w:rsidRPr="00C6300A">
        <w:rPr>
          <w:szCs w:val="28"/>
        </w:rPr>
        <w:t xml:space="preserve"> к юго-западу от областного центра г</w:t>
      </w:r>
      <w:proofErr w:type="gramStart"/>
      <w:r w:rsidRPr="00C6300A">
        <w:rPr>
          <w:szCs w:val="28"/>
        </w:rPr>
        <w:t>.Ч</w:t>
      </w:r>
      <w:proofErr w:type="gramEnd"/>
      <w:r w:rsidRPr="00C6300A">
        <w:rPr>
          <w:szCs w:val="28"/>
        </w:rPr>
        <w:t>елябинска и является городом областного подчинения. Связь с городами Челябинской области осуществляется дорогой областного значения Челябинск-Магнитогорск. Населенные пункты Пластовского муниципального района удалены от г</w:t>
      </w:r>
      <w:proofErr w:type="gramStart"/>
      <w:r w:rsidRPr="00C6300A">
        <w:rPr>
          <w:szCs w:val="28"/>
        </w:rPr>
        <w:t>.П</w:t>
      </w:r>
      <w:proofErr w:type="gramEnd"/>
      <w:r w:rsidRPr="00C6300A">
        <w:rPr>
          <w:szCs w:val="28"/>
        </w:rPr>
        <w:t>ласта на расстоянии 5,0-</w:t>
      </w:r>
      <w:smartTag w:uri="urn:schemas-microsoft-com:office:smarttags" w:element="metricconverter">
        <w:smartTagPr>
          <w:attr w:name="ProductID" w:val="55,0 км"/>
        </w:smartTagPr>
        <w:r w:rsidRPr="00C6300A">
          <w:rPr>
            <w:szCs w:val="28"/>
          </w:rPr>
          <w:t xml:space="preserve">55,0 км. </w:t>
        </w:r>
      </w:smartTag>
      <w:r w:rsidRPr="00C6300A">
        <w:rPr>
          <w:szCs w:val="28"/>
        </w:rPr>
        <w:t>Территория района полностью охвачена сообщением общественного транспорта</w:t>
      </w:r>
    </w:p>
    <w:p w:rsidR="00C6300A" w:rsidRPr="00C6300A" w:rsidRDefault="00C6300A" w:rsidP="00C6300A">
      <w:pPr>
        <w:pStyle w:val="31"/>
        <w:spacing w:line="360" w:lineRule="auto"/>
        <w:ind w:firstLine="851"/>
        <w:rPr>
          <w:szCs w:val="28"/>
        </w:rPr>
      </w:pPr>
    </w:p>
    <w:p w:rsidR="00C6300A" w:rsidRPr="00C6300A" w:rsidRDefault="00C6300A" w:rsidP="00C6300A">
      <w:pPr>
        <w:pStyle w:val="31"/>
        <w:spacing w:line="360" w:lineRule="auto"/>
        <w:ind w:firstLine="851"/>
        <w:rPr>
          <w:szCs w:val="28"/>
        </w:rPr>
      </w:pPr>
    </w:p>
    <w:p w:rsidR="00C6300A" w:rsidRPr="00C6300A" w:rsidRDefault="00C6300A" w:rsidP="00C6300A">
      <w:pPr>
        <w:pStyle w:val="31"/>
        <w:spacing w:line="360" w:lineRule="auto"/>
        <w:ind w:firstLine="851"/>
        <w:jc w:val="right"/>
        <w:rPr>
          <w:sz w:val="22"/>
          <w:szCs w:val="22"/>
        </w:rPr>
      </w:pPr>
      <w:r w:rsidRPr="00C6300A">
        <w:rPr>
          <w:sz w:val="22"/>
          <w:szCs w:val="22"/>
        </w:rPr>
        <w:t>Рис.2</w:t>
      </w:r>
    </w:p>
    <w:p w:rsidR="00C6300A" w:rsidRPr="00C6300A" w:rsidRDefault="00C6300A" w:rsidP="00C6300A">
      <w:pPr>
        <w:pStyle w:val="31"/>
        <w:spacing w:line="360" w:lineRule="auto"/>
        <w:ind w:firstLine="851"/>
        <w:jc w:val="center"/>
        <w:rPr>
          <w:szCs w:val="28"/>
        </w:rPr>
      </w:pPr>
      <w:r w:rsidRPr="00C6300A">
        <w:rPr>
          <w:noProof/>
          <w:szCs w:val="28"/>
          <w:lang w:eastAsia="ru-RU"/>
        </w:rPr>
        <w:lastRenderedPageBreak/>
        <w:drawing>
          <wp:inline distT="0" distB="0" distL="0" distR="0">
            <wp:extent cx="4914900" cy="3162300"/>
            <wp:effectExtent l="19050" t="0" r="0" b="0"/>
            <wp:docPr id="21" name="Рисунок 19" descr="Описание: C:\Users\Егорова\Desktop\Егорова\Пассажирские перевозки\Егорова\2019 ГОД\Схема пригород 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Егорова\Desktop\Егорова\Пассажирские перевозки\Егорова\2019 ГОД\Схема пригород ут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C6300A">
        <w:rPr>
          <w:rFonts w:ascii="Times New Roman" w:hAnsi="Times New Roman" w:cs="Times New Roman"/>
          <w:sz w:val="16"/>
          <w:szCs w:val="16"/>
        </w:rPr>
        <w:t xml:space="preserve">1. № 371 «г. Пласт </w:t>
      </w:r>
      <w:proofErr w:type="gramStart"/>
      <w:r w:rsidRPr="00C6300A">
        <w:rPr>
          <w:rFonts w:ascii="Times New Roman" w:hAnsi="Times New Roman" w:cs="Times New Roman"/>
          <w:sz w:val="16"/>
          <w:szCs w:val="16"/>
        </w:rPr>
        <w:t>–с</w:t>
      </w:r>
      <w:proofErr w:type="gramEnd"/>
      <w:r w:rsidRPr="00C6300A">
        <w:rPr>
          <w:rFonts w:ascii="Times New Roman" w:hAnsi="Times New Roman" w:cs="Times New Roman"/>
          <w:sz w:val="16"/>
          <w:szCs w:val="16"/>
        </w:rPr>
        <w:t xml:space="preserve">. Кочкарь - с. Демарино- п. Котлик- с. Михайловка-с. Старый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Кумляк-с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Кукушка-с. Старый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Кумляк-с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Новый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Кумляк-п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Котлик-с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Михайловка-с.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Демарино-с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Кочкарь - г. Пласт»; </w:t>
      </w:r>
    </w:p>
    <w:p w:rsidR="00C6300A" w:rsidRPr="00C6300A" w:rsidRDefault="00C6300A" w:rsidP="00C6300A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C6300A">
        <w:rPr>
          <w:rFonts w:ascii="Times New Roman" w:hAnsi="Times New Roman" w:cs="Times New Roman"/>
          <w:sz w:val="16"/>
          <w:szCs w:val="16"/>
        </w:rPr>
        <w:t xml:space="preserve">2. № 372 «г. Пласт-с. Борисовка-с.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Верхняя-Санарка-с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Радиомайка-п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Светлый-п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Воронино-с.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Светлый-с</w:t>
      </w:r>
      <w:proofErr w:type="gramStart"/>
      <w:r w:rsidRPr="00C6300A">
        <w:rPr>
          <w:rFonts w:ascii="Times New Roman" w:hAnsi="Times New Roman" w:cs="Times New Roman"/>
          <w:sz w:val="16"/>
          <w:szCs w:val="16"/>
        </w:rPr>
        <w:t>.Р</w:t>
      </w:r>
      <w:proofErr w:type="gramEnd"/>
      <w:r w:rsidRPr="00C6300A">
        <w:rPr>
          <w:rFonts w:ascii="Times New Roman" w:hAnsi="Times New Roman" w:cs="Times New Roman"/>
          <w:sz w:val="16"/>
          <w:szCs w:val="16"/>
        </w:rPr>
        <w:t>адиомайка-с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Верхняя-Санарка-с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>. Борисовка-г. Пласт»;</w:t>
      </w:r>
    </w:p>
    <w:p w:rsidR="00C6300A" w:rsidRPr="00C6300A" w:rsidRDefault="00C6300A" w:rsidP="00C6300A">
      <w:pPr>
        <w:spacing w:after="0"/>
        <w:ind w:firstLine="284"/>
        <w:rPr>
          <w:rFonts w:ascii="Times New Roman" w:hAnsi="Times New Roman" w:cs="Times New Roman"/>
          <w:sz w:val="16"/>
          <w:szCs w:val="16"/>
        </w:rPr>
      </w:pPr>
      <w:r w:rsidRPr="00C6300A">
        <w:rPr>
          <w:rFonts w:ascii="Times New Roman" w:hAnsi="Times New Roman" w:cs="Times New Roman"/>
          <w:sz w:val="16"/>
          <w:szCs w:val="16"/>
        </w:rPr>
        <w:t xml:space="preserve">3. № 374 «г. Пласт-с.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Кочкарь-с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Чукса-с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Кочкарь-г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>. Пласт»;</w:t>
      </w:r>
    </w:p>
    <w:p w:rsidR="00C6300A" w:rsidRPr="00C6300A" w:rsidRDefault="00C6300A" w:rsidP="00C6300A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C6300A">
        <w:rPr>
          <w:rFonts w:ascii="Times New Roman" w:hAnsi="Times New Roman" w:cs="Times New Roman"/>
          <w:sz w:val="16"/>
          <w:szCs w:val="16"/>
        </w:rPr>
        <w:t xml:space="preserve">4. №375 «г. Пласт-с. Борисовка – 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Верхняя-Санарка-с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Степное-с. </w:t>
      </w:r>
      <w:proofErr w:type="spellStart"/>
      <w:r w:rsidRPr="00C6300A">
        <w:rPr>
          <w:rFonts w:ascii="Times New Roman" w:hAnsi="Times New Roman" w:cs="Times New Roman"/>
          <w:sz w:val="16"/>
          <w:szCs w:val="16"/>
        </w:rPr>
        <w:t>Степнинское-с</w:t>
      </w:r>
      <w:proofErr w:type="spellEnd"/>
      <w:r w:rsidRPr="00C6300A">
        <w:rPr>
          <w:rFonts w:ascii="Times New Roman" w:hAnsi="Times New Roman" w:cs="Times New Roman"/>
          <w:sz w:val="16"/>
          <w:szCs w:val="16"/>
        </w:rPr>
        <w:t xml:space="preserve">. Степное- с. Верхняя – Санарка – с. Борисовка </w:t>
      </w:r>
      <w:proofErr w:type="gramStart"/>
      <w:r w:rsidRPr="00C6300A">
        <w:rPr>
          <w:rFonts w:ascii="Times New Roman" w:hAnsi="Times New Roman" w:cs="Times New Roman"/>
          <w:sz w:val="16"/>
          <w:szCs w:val="16"/>
        </w:rPr>
        <w:t>-г</w:t>
      </w:r>
      <w:proofErr w:type="gramEnd"/>
      <w:r w:rsidRPr="00C6300A">
        <w:rPr>
          <w:rFonts w:ascii="Times New Roman" w:hAnsi="Times New Roman" w:cs="Times New Roman"/>
          <w:sz w:val="16"/>
          <w:szCs w:val="16"/>
        </w:rPr>
        <w:t>. Пласт;</w:t>
      </w:r>
    </w:p>
    <w:p w:rsidR="00C6300A" w:rsidRPr="00C6300A" w:rsidRDefault="00C6300A" w:rsidP="00C6300A">
      <w:pPr>
        <w:spacing w:after="0"/>
        <w:ind w:firstLine="284"/>
        <w:rPr>
          <w:rFonts w:ascii="Times New Roman" w:hAnsi="Times New Roman" w:cs="Times New Roman"/>
          <w:sz w:val="16"/>
          <w:szCs w:val="16"/>
        </w:rPr>
      </w:pPr>
      <w:r w:rsidRPr="00C6300A">
        <w:rPr>
          <w:rFonts w:ascii="Times New Roman" w:hAnsi="Times New Roman" w:cs="Times New Roman"/>
          <w:sz w:val="16"/>
          <w:szCs w:val="16"/>
        </w:rPr>
        <w:t>5. № 378 «г. Пласт-с. Верхняя Кабанк</w:t>
      </w:r>
      <w:proofErr w:type="gramStart"/>
      <w:r w:rsidRPr="00C6300A">
        <w:rPr>
          <w:rFonts w:ascii="Times New Roman" w:hAnsi="Times New Roman" w:cs="Times New Roman"/>
          <w:sz w:val="16"/>
          <w:szCs w:val="16"/>
        </w:rPr>
        <w:t>а-</w:t>
      </w:r>
      <w:proofErr w:type="gramEnd"/>
      <w:r w:rsidRPr="00C6300A">
        <w:rPr>
          <w:rFonts w:ascii="Times New Roman" w:hAnsi="Times New Roman" w:cs="Times New Roman"/>
          <w:sz w:val="16"/>
          <w:szCs w:val="16"/>
        </w:rPr>
        <w:t xml:space="preserve"> г. Пласт»;</w:t>
      </w:r>
    </w:p>
    <w:p w:rsidR="00C6300A" w:rsidRPr="00C6300A" w:rsidRDefault="00C6300A" w:rsidP="00C6300A">
      <w:pPr>
        <w:pStyle w:val="31"/>
        <w:spacing w:line="360" w:lineRule="auto"/>
        <w:ind w:firstLine="851"/>
        <w:jc w:val="right"/>
        <w:rPr>
          <w:sz w:val="22"/>
          <w:szCs w:val="22"/>
        </w:rPr>
      </w:pPr>
      <w:r w:rsidRPr="00C6300A">
        <w:rPr>
          <w:sz w:val="22"/>
          <w:szCs w:val="22"/>
        </w:rPr>
        <w:t>Рис.3</w:t>
      </w:r>
    </w:p>
    <w:p w:rsidR="00C6300A" w:rsidRPr="00C6300A" w:rsidRDefault="00C6300A" w:rsidP="00C6300A">
      <w:pPr>
        <w:pStyle w:val="31"/>
        <w:spacing w:line="360" w:lineRule="auto"/>
        <w:ind w:firstLine="851"/>
        <w:jc w:val="center"/>
        <w:rPr>
          <w:b/>
          <w:szCs w:val="28"/>
        </w:rPr>
      </w:pPr>
      <w:r w:rsidRPr="00C6300A">
        <w:rPr>
          <w:noProof/>
          <w:lang w:eastAsia="ru-RU"/>
        </w:rPr>
        <w:drawing>
          <wp:inline distT="0" distB="0" distL="0" distR="0">
            <wp:extent cx="3467100" cy="4457700"/>
            <wp:effectExtent l="19050" t="0" r="0" b="0"/>
            <wp:docPr id="22" name="Рисунок 22" descr="Схема транспортной инфраструктуры П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транспортной инфраструктуры ПМ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lastRenderedPageBreak/>
        <w:t xml:space="preserve">К областному центру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. Челябинску доступными являются различные направления Южно-Уральской железной дороги и линий воздушного сообщения аэропорта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Баландино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.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Расстояние между автостанцией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 xml:space="preserve">. Пласт (пер. Гаражный, 1) и аэропортом 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Баландино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 xml:space="preserve"> составляет 140 км, это приблизительно 2 часа  пути на автомобиле.</w:t>
      </w:r>
    </w:p>
    <w:p w:rsidR="00C6300A" w:rsidRPr="00C6300A" w:rsidRDefault="00C6300A" w:rsidP="00C6300A">
      <w:pPr>
        <w:shd w:val="clear" w:color="auto" w:fill="FFFFFF"/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spacing w:val="-1"/>
        </w:rPr>
        <w:t>Рис. 4</w:t>
      </w:r>
    </w:p>
    <w:p w:rsidR="00C6300A" w:rsidRPr="00C6300A" w:rsidRDefault="00C6300A" w:rsidP="00C6300A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spacing w:val="-1"/>
        </w:rPr>
        <w:t xml:space="preserve">Схема проезда от автостанции </w:t>
      </w:r>
      <w:proofErr w:type="gramStart"/>
      <w:r w:rsidRPr="00C6300A">
        <w:rPr>
          <w:rFonts w:ascii="Times New Roman" w:hAnsi="Times New Roman" w:cs="Times New Roman"/>
          <w:spacing w:val="-1"/>
        </w:rPr>
        <w:t>г</w:t>
      </w:r>
      <w:proofErr w:type="gramEnd"/>
      <w:r w:rsidRPr="00C6300A">
        <w:rPr>
          <w:rFonts w:ascii="Times New Roman" w:hAnsi="Times New Roman" w:cs="Times New Roman"/>
          <w:spacing w:val="-1"/>
        </w:rPr>
        <w:t xml:space="preserve">. Пласт до аэропорта </w:t>
      </w:r>
      <w:proofErr w:type="spellStart"/>
      <w:r w:rsidRPr="00C6300A">
        <w:rPr>
          <w:rFonts w:ascii="Times New Roman" w:hAnsi="Times New Roman" w:cs="Times New Roman"/>
          <w:spacing w:val="-1"/>
        </w:rPr>
        <w:t>Баландино</w:t>
      </w:r>
      <w:proofErr w:type="spellEnd"/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noProof/>
        </w:rPr>
        <w:drawing>
          <wp:inline distT="0" distB="0" distL="0" distR="0">
            <wp:extent cx="4362450" cy="251460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7245" t="16409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00A" w:rsidRPr="00C6300A" w:rsidRDefault="00C6300A" w:rsidP="00C630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Расстояние между автостанцией 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. Пласт (пер. Гаражный, 1)  и железнодорожным вокзалом Челябинска (ст. Челябинск-Главный) составляет 120 км (время в пути на автомобиле около 1 часа 40 минут).</w:t>
      </w:r>
    </w:p>
    <w:p w:rsidR="00C6300A" w:rsidRPr="00C6300A" w:rsidRDefault="00C6300A" w:rsidP="00C6300A">
      <w:pPr>
        <w:shd w:val="clear" w:color="auto" w:fill="FFFFFF"/>
        <w:spacing w:after="0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spacing w:val="-1"/>
        </w:rPr>
        <w:t>Рис. 5</w:t>
      </w:r>
    </w:p>
    <w:p w:rsidR="00C6300A" w:rsidRPr="00C6300A" w:rsidRDefault="00C6300A" w:rsidP="00C6300A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spacing w:val="-1"/>
        </w:rPr>
        <w:t>Схема проезда до Железнодорожного вокзала (ст. Челябинск–Главный)</w:t>
      </w:r>
    </w:p>
    <w:p w:rsidR="00C6300A" w:rsidRPr="00C6300A" w:rsidRDefault="00C6300A" w:rsidP="00C6300A">
      <w:pPr>
        <w:spacing w:after="0"/>
        <w:jc w:val="center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  <w:noProof/>
        </w:rPr>
        <w:drawing>
          <wp:inline distT="0" distB="0" distL="0" distR="0">
            <wp:extent cx="4105275" cy="2809875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727" t="16153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0A" w:rsidRPr="00C6300A" w:rsidRDefault="00C6300A" w:rsidP="00C6300A">
      <w:pPr>
        <w:spacing w:after="0"/>
        <w:rPr>
          <w:rFonts w:ascii="Times New Roman" w:hAnsi="Times New Roman" w:cs="Times New Roman"/>
          <w:b/>
        </w:rPr>
        <w:sectPr w:rsidR="00C6300A" w:rsidRPr="00C6300A" w:rsidSect="00A3098E">
          <w:footnotePr>
            <w:pos w:val="beneathText"/>
          </w:footnotePr>
          <w:type w:val="continuous"/>
          <w:pgSz w:w="11905" w:h="16837"/>
          <w:pgMar w:top="851" w:right="709" w:bottom="851" w:left="1276" w:header="720" w:footer="720" w:gutter="0"/>
          <w:cols w:space="720"/>
          <w:docGrid w:linePitch="360"/>
        </w:sectPr>
      </w:pP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Энергетический комплекс </w:t>
      </w:r>
      <w:r w:rsidRPr="00C6300A">
        <w:rPr>
          <w:rFonts w:ascii="Times New Roman" w:hAnsi="Times New Roman" w:cs="Times New Roman"/>
          <w:sz w:val="28"/>
          <w:szCs w:val="28"/>
        </w:rPr>
        <w:t>представлен основными предприятиями:  АЭС «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Инвест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», ООО «Теплосервис», ООО «Водоснабжение», «</w:t>
      </w:r>
      <w:proofErr w:type="spellStart"/>
      <w:r w:rsidRPr="00C6300A">
        <w:rPr>
          <w:rFonts w:ascii="Times New Roman" w:hAnsi="Times New Roman" w:cs="Times New Roman"/>
          <w:sz w:val="28"/>
          <w:szCs w:val="28"/>
        </w:rPr>
        <w:t>Уралэнергосбыт</w:t>
      </w:r>
      <w:proofErr w:type="spellEnd"/>
      <w:r w:rsidRPr="00C6300A">
        <w:rPr>
          <w:rFonts w:ascii="Times New Roman" w:hAnsi="Times New Roman" w:cs="Times New Roman"/>
          <w:sz w:val="28"/>
          <w:szCs w:val="28"/>
        </w:rPr>
        <w:t>», ОО</w:t>
      </w:r>
      <w:proofErr w:type="gramStart"/>
      <w:r w:rsidRPr="00C6300A">
        <w:rPr>
          <w:rFonts w:ascii="Times New Roman" w:hAnsi="Times New Roman" w:cs="Times New Roman"/>
          <w:sz w:val="28"/>
          <w:szCs w:val="28"/>
        </w:rPr>
        <w:t>О«</w:t>
      </w:r>
      <w:proofErr w:type="gramEnd"/>
      <w:r w:rsidRPr="00C6300A">
        <w:rPr>
          <w:rFonts w:ascii="Times New Roman" w:hAnsi="Times New Roman" w:cs="Times New Roman"/>
          <w:sz w:val="28"/>
          <w:szCs w:val="28"/>
        </w:rPr>
        <w:t>НОВАТЕК».</w:t>
      </w:r>
    </w:p>
    <w:p w:rsidR="00C6300A" w:rsidRPr="00C6300A" w:rsidRDefault="00C6300A" w:rsidP="00C6300A">
      <w:pPr>
        <w:pStyle w:val="ConsPlusNormal"/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Реализованы мероприятия повышения энергетической эффективности экономики и сокращения энергетических издержек в бюджетном секторе, а именно </w:t>
      </w:r>
      <w:r w:rsidRPr="00C6300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устанавливались приборы учета (</w:t>
      </w:r>
      <w:proofErr w:type="spellStart"/>
      <w:r w:rsidRPr="00C6300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многотарифных</w:t>
      </w:r>
      <w:proofErr w:type="spellEnd"/>
      <w:r w:rsidRPr="00C63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счетчиков электрической энергии). Переход на отпуск энергетических ресурсов потребителям в соответствии с показаниями коллективных (</w:t>
      </w:r>
      <w:proofErr w:type="spellStart"/>
      <w:r w:rsidRPr="00C630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общедомовых</w:t>
      </w:r>
      <w:proofErr w:type="spellEnd"/>
      <w:r w:rsidRPr="00C6300A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приборов учета.</w:t>
      </w:r>
    </w:p>
    <w:p w:rsidR="00C6300A" w:rsidRPr="00C6300A" w:rsidRDefault="00C6300A" w:rsidP="00C6300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00A">
        <w:rPr>
          <w:rFonts w:ascii="Times New Roman" w:hAnsi="Times New Roman" w:cs="Times New Roman"/>
          <w:b/>
          <w:sz w:val="28"/>
          <w:szCs w:val="28"/>
        </w:rPr>
        <w:t xml:space="preserve">Информационно-коммуникационная инфраструктура. </w:t>
      </w:r>
    </w:p>
    <w:p w:rsidR="00C6300A" w:rsidRPr="00C6300A" w:rsidRDefault="00C6300A" w:rsidP="00C6300A">
      <w:pPr>
        <w:shd w:val="clear" w:color="auto" w:fill="FFFFFF"/>
        <w:spacing w:after="0" w:line="36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6300A">
        <w:rPr>
          <w:rFonts w:ascii="Times New Roman" w:hAnsi="Times New Roman" w:cs="Times New Roman"/>
          <w:sz w:val="28"/>
          <w:szCs w:val="28"/>
        </w:rPr>
        <w:t xml:space="preserve">Пластовский муниципальный район характеризуется высоким уровнем развития информационно-коммуникационных технологий. Территория муниципального района полностью охвачена услугами проводной и беспроводной сотовой связи, проводным и мобильным Интернетом. Предоставляются также услуги </w:t>
      </w:r>
      <w:r w:rsidRPr="00C6300A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C6300A">
        <w:rPr>
          <w:rFonts w:ascii="Times New Roman" w:hAnsi="Times New Roman" w:cs="Times New Roman"/>
          <w:sz w:val="28"/>
          <w:szCs w:val="28"/>
        </w:rPr>
        <w:t>-телефонии.</w:t>
      </w:r>
    </w:p>
    <w:p w:rsidR="00C6300A" w:rsidRPr="00C6300A" w:rsidRDefault="00C6300A" w:rsidP="00C6300A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C6300A">
        <w:rPr>
          <w:rFonts w:ascii="Times New Roman" w:hAnsi="Times New Roman" w:cs="Times New Roman"/>
        </w:rPr>
        <w:t>Таблица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5528"/>
      </w:tblGrid>
      <w:tr w:rsidR="00C6300A" w:rsidRPr="00C6300A" w:rsidTr="00970CA7">
        <w:trPr>
          <w:trHeight w:hRule="exact" w:val="601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услуг связи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ind w:hanging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Операторы, </w:t>
            </w:r>
            <w:r w:rsidRPr="00C6300A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предоставляющие услуги связи</w:t>
            </w:r>
          </w:p>
        </w:tc>
      </w:tr>
      <w:tr w:rsidR="00C6300A" w:rsidRPr="00C6300A" w:rsidTr="00970CA7">
        <w:trPr>
          <w:trHeight w:hRule="exact" w:val="41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Услуги проводной телефонной связи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«Ростелеком»</w:t>
            </w:r>
          </w:p>
        </w:tc>
      </w:tr>
      <w:tr w:rsidR="00C6300A" w:rsidRPr="00C6300A" w:rsidTr="00970CA7">
        <w:trPr>
          <w:trHeight w:hRule="exact" w:val="422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IP-</w:t>
            </w: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телефония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«Ростелеком», «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Интерсвязь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</w:t>
            </w:r>
          </w:p>
        </w:tc>
      </w:tr>
      <w:tr w:rsidR="00C6300A" w:rsidRPr="00C6300A" w:rsidTr="00970CA7">
        <w:trPr>
          <w:trHeight w:hRule="exact" w:val="70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Услуги мобильной связи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Билайн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МТС, </w:t>
            </w: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Tele</w:t>
            </w: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2, Ростелеком, Мегафон, 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Yota</w:t>
            </w:r>
            <w:proofErr w:type="spellEnd"/>
          </w:p>
        </w:tc>
      </w:tr>
      <w:tr w:rsidR="00C6300A" w:rsidRPr="00C6300A" w:rsidTr="00970CA7">
        <w:trPr>
          <w:trHeight w:hRule="exact" w:val="835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Предоставление доступа к сети Интернет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Интерсвязь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», «Ростелеком», «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ИС-Телеком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</w:t>
            </w:r>
          </w:p>
        </w:tc>
      </w:tr>
      <w:tr w:rsidR="00C6300A" w:rsidRPr="00C6300A" w:rsidTr="00970CA7">
        <w:trPr>
          <w:trHeight w:hRule="exact" w:val="729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Предоставление доступа к мобильному </w:t>
            </w: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Интернету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Билайн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МТС, </w:t>
            </w: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Tele</w:t>
            </w: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2, Ростелеком, Мегафон, 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Yota</w:t>
            </w:r>
            <w:proofErr w:type="spellEnd"/>
          </w:p>
        </w:tc>
      </w:tr>
      <w:tr w:rsidR="00C6300A" w:rsidRPr="00C6300A" w:rsidTr="00970CA7">
        <w:trPr>
          <w:trHeight w:hRule="exact" w:val="73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 xml:space="preserve">Услуги </w:t>
            </w:r>
            <w:proofErr w:type="gramStart"/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теле</w:t>
            </w:r>
            <w:proofErr w:type="gramEnd"/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- и радиовещания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Интерсвязь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», «Ростелеком», кабельное ТВ, цифровое  эфирное ТВ</w:t>
            </w:r>
          </w:p>
        </w:tc>
      </w:tr>
      <w:tr w:rsidR="00C6300A" w:rsidRPr="00C6300A" w:rsidTr="00970CA7">
        <w:trPr>
          <w:trHeight w:hRule="exact" w:val="109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bookmark11"/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bookmarkEnd w:id="0"/>
            <w:r w:rsidRPr="00C6300A">
              <w:rPr>
                <w:rFonts w:ascii="Times New Roman" w:hAnsi="Times New Roman" w:cs="Times New Roman"/>
                <w:sz w:val="28"/>
                <w:szCs w:val="28"/>
              </w:rPr>
              <w:t>слуги спутникового телевидения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00A" w:rsidRPr="00C6300A" w:rsidRDefault="00C6300A" w:rsidP="00C6300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Триколор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ТВ, 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Телекарта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Радуга-ТВ, </w:t>
            </w:r>
            <w:r w:rsidRPr="00C6300A">
              <w:rPr>
                <w:rFonts w:ascii="Times New Roman" w:hAnsi="Times New Roman" w:cs="Times New Roman"/>
                <w:sz w:val="28"/>
                <w:szCs w:val="28"/>
              </w:rPr>
              <w:t xml:space="preserve">Континент ТВ, Старт ТВ, НТВ+, </w:t>
            </w:r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</w:t>
            </w:r>
            <w:proofErr w:type="spellStart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ИС-Телеком</w:t>
            </w:r>
            <w:proofErr w:type="spellEnd"/>
            <w:r w:rsidRPr="00C6300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</w:t>
            </w:r>
          </w:p>
        </w:tc>
      </w:tr>
    </w:tbl>
    <w:p w:rsidR="00C6300A" w:rsidRPr="00C6300A" w:rsidRDefault="00C6300A" w:rsidP="00C6300A">
      <w:pPr>
        <w:spacing w:after="0" w:line="360" w:lineRule="auto"/>
        <w:ind w:hanging="1134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00A" w:rsidRPr="00C6300A" w:rsidRDefault="00C6300A" w:rsidP="00C6300A">
      <w:pPr>
        <w:spacing w:after="0" w:line="36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790" w:rsidRPr="00C6300A" w:rsidRDefault="00B50790" w:rsidP="00C6300A">
      <w:pPr>
        <w:spacing w:after="0"/>
        <w:rPr>
          <w:rFonts w:ascii="Times New Roman" w:hAnsi="Times New Roman" w:cs="Times New Roman"/>
        </w:rPr>
      </w:pPr>
    </w:p>
    <w:sectPr w:rsidR="00B50790" w:rsidRPr="00C6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892" w:rsidRDefault="00B50790" w:rsidP="00A3098E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80892" w:rsidRDefault="00B50790" w:rsidP="00A3098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892" w:rsidRDefault="00B50790" w:rsidP="00A3098E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300A">
      <w:rPr>
        <w:rStyle w:val="a5"/>
        <w:noProof/>
      </w:rPr>
      <w:t>33</w:t>
    </w:r>
    <w:r>
      <w:rPr>
        <w:rStyle w:val="a5"/>
      </w:rPr>
      <w:fldChar w:fldCharType="end"/>
    </w:r>
  </w:p>
  <w:p w:rsidR="00180892" w:rsidRPr="000C1C52" w:rsidRDefault="00B50790" w:rsidP="00A3098E">
    <w:pPr>
      <w:pStyle w:val="a8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892" w:rsidRDefault="00B50790">
    <w:pPr>
      <w:pStyle w:val="a3"/>
    </w:pPr>
    <w:r>
      <w:fldChar w:fldCharType="begin"/>
    </w:r>
    <w:r>
      <w:instrText xml:space="preserve"> DATE \@ "dd.MM.yyyy" </w:instrText>
    </w:r>
    <w:r>
      <w:fldChar w:fldCharType="separate"/>
    </w:r>
    <w:r>
      <w:rPr>
        <w:noProof/>
      </w:rPr>
      <w:t>12.11.2019</w:t>
    </w:r>
    <w:r>
      <w:fldChar w:fldCharType="end"/>
    </w:r>
    <w:r>
      <w:fldChar w:fldCharType="begin"/>
    </w:r>
    <w:r>
      <w:instrText xml:space="preserve"> DATE \@ "dd.MM.yyyy" </w:instrText>
    </w:r>
    <w:r>
      <w:fldChar w:fldCharType="separate"/>
    </w:r>
    <w:r>
      <w:rPr>
        <w:noProof/>
      </w:rPr>
      <w:t>12.11.2019</w:t>
    </w:r>
    <w:r>
      <w:fldChar w:fldCharType="end"/>
    </w:r>
    <w:r>
      <w:fldChar w:fldCharType="begin"/>
    </w:r>
    <w:r>
      <w:instrText xml:space="preserve"> DATE \@ "dd.MM.yyyy" </w:instrText>
    </w:r>
    <w:r>
      <w:fldChar w:fldCharType="separate"/>
    </w:r>
    <w:r>
      <w:rPr>
        <w:noProof/>
      </w:rPr>
      <w:t>12.11.2019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3A310C"/>
    <w:lvl w:ilvl="0">
      <w:numFmt w:val="bullet"/>
      <w:lvlText w:val="*"/>
      <w:lvlJc w:val="left"/>
    </w:lvl>
  </w:abstractNum>
  <w:abstractNum w:abstractNumId="1">
    <w:nsid w:val="0000000B"/>
    <w:multiLevelType w:val="singleLevel"/>
    <w:tmpl w:val="0000000B"/>
    <w:name w:val="WW8Num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259872D0"/>
    <w:multiLevelType w:val="hybridMultilevel"/>
    <w:tmpl w:val="F57EA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E47F5"/>
    <w:multiLevelType w:val="singleLevel"/>
    <w:tmpl w:val="A99C7482"/>
    <w:lvl w:ilvl="0">
      <w:start w:val="1"/>
      <w:numFmt w:val="decimal"/>
      <w:lvlText w:val="%1)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4">
    <w:nsid w:val="43391F58"/>
    <w:multiLevelType w:val="hybridMultilevel"/>
    <w:tmpl w:val="98F438F8"/>
    <w:lvl w:ilvl="0" w:tplc="EC0C0982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>
    <w:useFELayout/>
  </w:compat>
  <w:rsids>
    <w:rsidRoot w:val="00C6300A"/>
    <w:rsid w:val="00B50790"/>
    <w:rsid w:val="00C6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C6300A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6300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3">
    <w:name w:val="header"/>
    <w:basedOn w:val="a"/>
    <w:link w:val="a4"/>
    <w:rsid w:val="00C6300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C6300A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C6300A"/>
  </w:style>
  <w:style w:type="paragraph" w:styleId="a6">
    <w:name w:val="Body Text"/>
    <w:basedOn w:val="a"/>
    <w:link w:val="a7"/>
    <w:rsid w:val="00C6300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C630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C630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">
    <w:name w:val="ConsPlusNormal"/>
    <w:link w:val="ConsPlusNormal0"/>
    <w:rsid w:val="00C6300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C6300A"/>
    <w:rPr>
      <w:rFonts w:ascii="Arial" w:eastAsia="Arial" w:hAnsi="Arial" w:cs="Arial"/>
      <w:sz w:val="20"/>
      <w:szCs w:val="20"/>
      <w:lang w:eastAsia="ar-SA"/>
    </w:rPr>
  </w:style>
  <w:style w:type="paragraph" w:styleId="a8">
    <w:name w:val="footer"/>
    <w:basedOn w:val="a"/>
    <w:link w:val="a9"/>
    <w:rsid w:val="00C6300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Нижний колонтитул Знак"/>
    <w:basedOn w:val="a0"/>
    <w:link w:val="a8"/>
    <w:rsid w:val="00C630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ltable">
    <w:name w:val="l_table"/>
    <w:basedOn w:val="a"/>
    <w:rsid w:val="00C6300A"/>
    <w:pPr>
      <w:overflowPunct w:val="0"/>
      <w:autoSpaceDE w:val="0"/>
      <w:autoSpaceDN w:val="0"/>
      <w:adjustRightInd w:val="0"/>
      <w:spacing w:after="0" w:line="200" w:lineRule="atLeast"/>
      <w:jc w:val="center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customStyle="1" w:styleId="ltable0">
    <w:name w:val="l_table0"/>
    <w:basedOn w:val="ltable"/>
    <w:rsid w:val="00C6300A"/>
    <w:pPr>
      <w:ind w:left="120"/>
      <w:jc w:val="left"/>
    </w:pPr>
  </w:style>
  <w:style w:type="paragraph" w:customStyle="1" w:styleId="1N3000000">
    <w:name w:val="1N3000000"/>
    <w:basedOn w:val="a"/>
    <w:rsid w:val="00C6300A"/>
    <w:pPr>
      <w:overflowPunct w:val="0"/>
      <w:autoSpaceDE w:val="0"/>
      <w:autoSpaceDN w:val="0"/>
      <w:adjustRightInd w:val="0"/>
      <w:spacing w:after="0" w:line="200" w:lineRule="atLeast"/>
      <w:jc w:val="both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aa">
    <w:name w:val="List Paragraph"/>
    <w:basedOn w:val="a"/>
    <w:link w:val="ab"/>
    <w:qFormat/>
    <w:rsid w:val="00C6300A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c">
    <w:name w:val="Normal (Web)"/>
    <w:aliases w:val="Обычный (Web)1,Обычный (Web)11,Обычный (Web)"/>
    <w:basedOn w:val="a"/>
    <w:link w:val="ad"/>
    <w:unhideWhenUsed/>
    <w:qFormat/>
    <w:rsid w:val="00C63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d">
    <w:name w:val="Обычный (веб) Знак"/>
    <w:link w:val="ac"/>
    <w:rsid w:val="00C6300A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b">
    <w:name w:val="Абзац списка Знак"/>
    <w:link w:val="aa"/>
    <w:locked/>
    <w:rsid w:val="00C6300A"/>
    <w:rPr>
      <w:rFonts w:ascii="Times New Roman" w:eastAsia="Calibri" w:hAnsi="Times New Roman" w:cs="Times New Roman"/>
      <w:sz w:val="24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C6300A"/>
    <w:pPr>
      <w:tabs>
        <w:tab w:val="right" w:leader="dot" w:pos="9923"/>
      </w:tabs>
      <w:spacing w:after="100"/>
      <w:ind w:left="216"/>
      <w:jc w:val="both"/>
    </w:pPr>
    <w:rPr>
      <w:rFonts w:ascii="Calibri" w:eastAsia="Times New Roman" w:hAnsi="Calibri" w:cs="Times New Roman"/>
    </w:rPr>
  </w:style>
  <w:style w:type="paragraph" w:styleId="1">
    <w:name w:val="toc 1"/>
    <w:basedOn w:val="a"/>
    <w:next w:val="a"/>
    <w:autoRedefine/>
    <w:uiPriority w:val="39"/>
    <w:unhideWhenUsed/>
    <w:qFormat/>
    <w:rsid w:val="00C6300A"/>
    <w:pPr>
      <w:spacing w:after="100"/>
    </w:pPr>
    <w:rPr>
      <w:rFonts w:ascii="Calibri" w:eastAsia="Times New Roman" w:hAnsi="Calibri" w:cs="Times New Roman"/>
    </w:rPr>
  </w:style>
  <w:style w:type="paragraph" w:styleId="3">
    <w:name w:val="toc 3"/>
    <w:basedOn w:val="a"/>
    <w:next w:val="a"/>
    <w:autoRedefine/>
    <w:uiPriority w:val="39"/>
    <w:unhideWhenUsed/>
    <w:qFormat/>
    <w:rsid w:val="00C6300A"/>
    <w:pPr>
      <w:tabs>
        <w:tab w:val="right" w:leader="dot" w:pos="9923"/>
      </w:tabs>
      <w:spacing w:after="100"/>
      <w:ind w:left="446"/>
      <w:jc w:val="both"/>
    </w:pPr>
    <w:rPr>
      <w:rFonts w:ascii="Calibri" w:eastAsia="Times New Roman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6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3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7" Type="http://schemas.openxmlformats.org/officeDocument/2006/relationships/header" Target="header1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5;&#1086;&#1088;&#1086;&#1074;&#1072;\Desktop\&#1045;&#1075;&#1086;&#1088;&#1086;&#1074;&#1072;\&#1057;&#1090;&#1088;&#1072;&#1090;&#1077;&#1075;&#1080;&#1103;%20&#1089;&#1086;&#1094;&#1080;&#1072;&#1083;&#1100;&#1085;&#1086;-&#1101;&#1082;&#1086;&#1085;&#1086;&#1084;&#1080;&#1095;&#1077;&#1089;&#1082;&#1086;&#1075;&#1086;%20&#1088;&#1072;&#1079;&#1074;&#1080;&#1090;&#1080;&#1103;\&#1063;&#1080;&#1089;&#1083;&#1077;&#1085;&#1085;&#1086;&#1089;&#1090;&#1100;%20&#1085;&#1072;&#1089;&#1077;&#1083;&#1077;&#1085;&#1080;&#1103;%20&#1088;&#1072;&#1081;&#1086;&#1085;&#1086;&#1074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9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image" Target="../media/image7.jpeg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image" Target="../media/image4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4.jpeg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spPr>
            <a:solidFill>
              <a:srgbClr val="FF0000"/>
            </a:solidFill>
          </c:spPr>
          <c:dLbls>
            <c:dLbl>
              <c:idx val="17"/>
              <c:layout>
                <c:manualLayout>
                  <c:x val="2.4645713023765089E-3"/>
                  <c:y val="-4.6296296296296311E-3"/>
                </c:manualLayout>
              </c:layout>
              <c:showVal val="1"/>
            </c:dLbl>
            <c:txPr>
              <a:bodyPr/>
              <a:lstStyle/>
              <a:p>
                <a:pPr>
                  <a:defRPr sz="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Лист1!$A$3:$A$29</c:f>
              <c:strCache>
                <c:ptCount val="27"/>
                <c:pt idx="0">
                  <c:v>Саткинский р-н</c:v>
                </c:pt>
                <c:pt idx="1">
                  <c:v>Сосновский р-н</c:v>
                </c:pt>
                <c:pt idx="2">
                  <c:v>Коркинский р-н</c:v>
                </c:pt>
                <c:pt idx="3">
                  <c:v>Ашинский р-н</c:v>
                </c:pt>
                <c:pt idx="4">
                  <c:v>Еманжелинский р-н</c:v>
                </c:pt>
                <c:pt idx="5">
                  <c:v>Карталинский р-н</c:v>
                </c:pt>
                <c:pt idx="6">
                  <c:v>Красноармейский р-н</c:v>
                </c:pt>
                <c:pt idx="7">
                  <c:v>Аргаяшский р-н</c:v>
                </c:pt>
                <c:pt idx="8">
                  <c:v>Верхнеуральский р-н</c:v>
                </c:pt>
                <c:pt idx="9">
                  <c:v>Агаповский р-н</c:v>
                </c:pt>
                <c:pt idx="10">
                  <c:v>Увельский р-н</c:v>
                </c:pt>
                <c:pt idx="11">
                  <c:v>Каслинский р-н</c:v>
                </c:pt>
                <c:pt idx="12">
                  <c:v>Еткульский р-н</c:v>
                </c:pt>
                <c:pt idx="13">
                  <c:v>Чебаркульский р-н</c:v>
                </c:pt>
                <c:pt idx="14">
                  <c:v>Катав-Ивановский р-н</c:v>
                </c:pt>
                <c:pt idx="15">
                  <c:v>Кунашакский р-н</c:v>
                </c:pt>
                <c:pt idx="16">
                  <c:v>Кусинский р-н</c:v>
                </c:pt>
                <c:pt idx="17">
                  <c:v>Пластовский р-н</c:v>
                </c:pt>
                <c:pt idx="18">
                  <c:v>Брединский р-н</c:v>
                </c:pt>
                <c:pt idx="19">
                  <c:v>Троицкий р-н</c:v>
                </c:pt>
                <c:pt idx="20">
                  <c:v>Варненский р-н</c:v>
                </c:pt>
                <c:pt idx="21">
                  <c:v>Уйский р-н</c:v>
                </c:pt>
                <c:pt idx="22">
                  <c:v>Кизильский р-н</c:v>
                </c:pt>
                <c:pt idx="23">
                  <c:v>Октябрьский р-н</c:v>
                </c:pt>
                <c:pt idx="24">
                  <c:v>Чесменский р-н</c:v>
                </c:pt>
                <c:pt idx="25">
                  <c:v>Нагайбакский р-н</c:v>
                </c:pt>
                <c:pt idx="26">
                  <c:v>Нязепетровский р-н</c:v>
                </c:pt>
              </c:strCache>
            </c:strRef>
          </c:cat>
          <c:val>
            <c:numRef>
              <c:f>Лист1!$B$3:$B$29</c:f>
              <c:numCache>
                <c:formatCode>General</c:formatCode>
                <c:ptCount val="27"/>
                <c:pt idx="0">
                  <c:v>78827</c:v>
                </c:pt>
                <c:pt idx="1">
                  <c:v>74956</c:v>
                </c:pt>
                <c:pt idx="2">
                  <c:v>58937</c:v>
                </c:pt>
                <c:pt idx="3">
                  <c:v>57979</c:v>
                </c:pt>
                <c:pt idx="4">
                  <c:v>48774</c:v>
                </c:pt>
                <c:pt idx="5">
                  <c:v>46049</c:v>
                </c:pt>
                <c:pt idx="6">
                  <c:v>41366</c:v>
                </c:pt>
                <c:pt idx="7">
                  <c:v>40540</c:v>
                </c:pt>
                <c:pt idx="8">
                  <c:v>33997</c:v>
                </c:pt>
                <c:pt idx="9">
                  <c:v>33178</c:v>
                </c:pt>
                <c:pt idx="10">
                  <c:v>31885</c:v>
                </c:pt>
                <c:pt idx="11">
                  <c:v>31427</c:v>
                </c:pt>
                <c:pt idx="12">
                  <c:v>29987</c:v>
                </c:pt>
                <c:pt idx="13">
                  <c:v>29609</c:v>
                </c:pt>
                <c:pt idx="14">
                  <c:v>29309</c:v>
                </c:pt>
                <c:pt idx="15">
                  <c:v>28551</c:v>
                </c:pt>
                <c:pt idx="16">
                  <c:v>26467</c:v>
                </c:pt>
                <c:pt idx="17">
                  <c:v>25314</c:v>
                </c:pt>
                <c:pt idx="18">
                  <c:v>24915</c:v>
                </c:pt>
                <c:pt idx="19">
                  <c:v>24894</c:v>
                </c:pt>
                <c:pt idx="20">
                  <c:v>24749</c:v>
                </c:pt>
                <c:pt idx="21">
                  <c:v>22502</c:v>
                </c:pt>
                <c:pt idx="22">
                  <c:v>22075</c:v>
                </c:pt>
                <c:pt idx="23">
                  <c:v>19243</c:v>
                </c:pt>
                <c:pt idx="24">
                  <c:v>18249</c:v>
                </c:pt>
                <c:pt idx="25">
                  <c:v>18201</c:v>
                </c:pt>
                <c:pt idx="26">
                  <c:v>16222</c:v>
                </c:pt>
              </c:numCache>
            </c:numRef>
          </c:val>
        </c:ser>
        <c:axId val="174973312"/>
        <c:axId val="207086720"/>
      </c:barChart>
      <c:catAx>
        <c:axId val="174973312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86720"/>
        <c:crosses val="autoZero"/>
        <c:auto val="1"/>
        <c:lblAlgn val="ctr"/>
        <c:lblOffset val="100"/>
      </c:catAx>
      <c:valAx>
        <c:axId val="2070867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97331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Динамика инвестиций в основной капитал за счет всех источников финансирования</a:t>
            </a:r>
          </a:p>
        </c:rich>
      </c:tx>
      <c:layout>
        <c:manualLayout>
          <c:xMode val="edge"/>
          <c:yMode val="edge"/>
          <c:x val="0.12366412213740462"/>
          <c:y val="3.1700288184438041E-2"/>
        </c:manualLayout>
      </c:layout>
      <c:spPr>
        <a:noFill/>
        <a:ln w="25330">
          <a:noFill/>
        </a:ln>
      </c:spPr>
    </c:title>
    <c:plotArea>
      <c:layout>
        <c:manualLayout>
          <c:layoutTarget val="inner"/>
          <c:xMode val="edge"/>
          <c:yMode val="edge"/>
          <c:x val="0.1755725190839694"/>
          <c:y val="0.17002881844380405"/>
          <c:w val="0.7923664122137406"/>
          <c:h val="0.58789625360230569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6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7177147436380544E-3"/>
                  <c:y val="1.4929159014594716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7635553203742963E-3"/>
                  <c:y val="-7.1516126863701678E-4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9.4074823500673622E-3"/>
                  <c:y val="-8.4475349900307167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9.56003575419722E-3"/>
                  <c:y val="-1.0283367341119622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1.0609085070976822E-3"/>
                  <c:y val="-3.5381279425360929E-3"/>
                </c:manualLayout>
              </c:layout>
              <c:dLblPos val="outEnd"/>
              <c:showVal val="1"/>
            </c:dLbl>
            <c:spPr>
              <a:noFill/>
              <a:ln w="2533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8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485.2</c:v>
                </c:pt>
                <c:pt idx="1">
                  <c:v>662.5</c:v>
                </c:pt>
                <c:pt idx="2">
                  <c:v>1503.6</c:v>
                </c:pt>
                <c:pt idx="3">
                  <c:v>1022.3</c:v>
                </c:pt>
                <c:pt idx="4">
                  <c:v>1885.1</c:v>
                </c:pt>
                <c:pt idx="5">
                  <c:v>1297.5999999999999</c:v>
                </c:pt>
                <c:pt idx="6">
                  <c:v>1422.8</c:v>
                </c:pt>
                <c:pt idx="7">
                  <c:v>1913</c:v>
                </c:pt>
                <c:pt idx="8">
                  <c:v>1931.2</c:v>
                </c:pt>
                <c:pt idx="9">
                  <c:v>5007.8</c:v>
                </c:pt>
              </c:numCache>
            </c:numRef>
          </c:val>
        </c:ser>
        <c:dLbls>
          <c:showVal val="1"/>
        </c:dLbls>
        <c:axId val="213674240"/>
        <c:axId val="213680512"/>
      </c:barChart>
      <c:catAx>
        <c:axId val="2136742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4351145038167958"/>
              <c:y val="0.84726224783861659"/>
            </c:manualLayout>
          </c:layout>
          <c:spPr>
            <a:noFill/>
            <a:ln w="25330">
              <a:noFill/>
            </a:ln>
          </c:spPr>
        </c:title>
        <c:numFmt formatCode="General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680512"/>
        <c:crosses val="autoZero"/>
        <c:lblAlgn val="ctr"/>
        <c:lblOffset val="100"/>
        <c:tickLblSkip val="1"/>
        <c:tickMarkSkip val="1"/>
      </c:catAx>
      <c:valAx>
        <c:axId val="213680512"/>
        <c:scaling>
          <c:orientation val="minMax"/>
          <c:max val="5000"/>
          <c:min val="0"/>
        </c:scaling>
        <c:axPos val="l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7.9389312977099238E-2"/>
              <c:y val="0.34870317002881845"/>
            </c:manualLayout>
          </c:layout>
          <c:spPr>
            <a:noFill/>
            <a:ln w="25330">
              <a:noFill/>
            </a:ln>
          </c:spPr>
        </c:title>
        <c:numFmt formatCode="General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333399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674240"/>
        <c:crosses val="autoZero"/>
        <c:crossBetween val="between"/>
        <c:majorUnit val="500"/>
        <c:minorUnit val="500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6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9541984732824453"/>
          <c:y val="0.9048991354466861"/>
          <c:w val="0.23816793893129776"/>
          <c:h val="6.9164265129683031E-2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66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Ввод в эксплуатацию жилых домов за счет всех источников финансирования</a:t>
            </a:r>
          </a:p>
        </c:rich>
      </c:tx>
      <c:layout>
        <c:manualLayout>
          <c:xMode val="edge"/>
          <c:yMode val="edge"/>
          <c:x val="0.17944785276073627"/>
          <c:y val="3.183023872679046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8957055214723968E-2"/>
          <c:y val="0.22546419098143247"/>
          <c:w val="0.84355828220858942"/>
          <c:h val="0.51193633952254647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ввод в действие жилых домов</c:v>
                </c:pt>
              </c:strCache>
            </c:strRef>
          </c:tx>
          <c:spPr>
            <a:gradFill rotWithShape="0">
              <a:gsLst>
                <a:gs pos="0">
                  <a:srgbClr val="00FF00"/>
                </a:gs>
                <a:gs pos="50000">
                  <a:srgbClr val="00FF00">
                    <a:gamma/>
                    <a:shade val="46275"/>
                    <a:invGamma/>
                  </a:srgbClr>
                </a:gs>
                <a:gs pos="100000">
                  <a:srgbClr val="00FF00"/>
                </a:gs>
              </a:gsLst>
              <a:lin ang="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3"/>
              <c:layout>
                <c:manualLayout>
                  <c:x val="4.2089155755425014E-3"/>
                  <c:y val="-6.8659211072182053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8.8000000000000007</c:v>
                </c:pt>
                <c:pt idx="1">
                  <c:v>9.3000000000000007</c:v>
                </c:pt>
                <c:pt idx="2">
                  <c:v>7.2</c:v>
                </c:pt>
                <c:pt idx="3">
                  <c:v>7.6</c:v>
                </c:pt>
                <c:pt idx="4">
                  <c:v>5.3</c:v>
                </c:pt>
                <c:pt idx="5">
                  <c:v>12.4</c:v>
                </c:pt>
                <c:pt idx="6">
                  <c:v>15.1</c:v>
                </c:pt>
                <c:pt idx="7">
                  <c:v>10.7</c:v>
                </c:pt>
                <c:pt idx="8">
                  <c:v>8.6</c:v>
                </c:pt>
                <c:pt idx="9">
                  <c:v>9.5</c:v>
                </c:pt>
              </c:numCache>
            </c:numRef>
          </c:val>
        </c:ser>
        <c:dLbls>
          <c:showVal val="1"/>
        </c:dLbls>
        <c:axId val="214305792"/>
        <c:axId val="214324352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общая площадь жилых, помещений, приходящаяся в среднем на одного жителя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0729661516904032E-2"/>
                  <c:y val="-4.426298140775076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195936212197505E-2"/>
                  <c:y val="-3.64910626790160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0729695570067651E-2"/>
                  <c:y val="-4.237220373156066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9.2573199586126788E-3"/>
                  <c:y val="3.51938275928451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7662244960654777E-2"/>
                  <c:y val="-2.580454076390780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30608764029234E-2"/>
                  <c:y val="-3.207614212823559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1527151098216953E-2"/>
                  <c:y val="-3.5919221363342316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2.919587978124041E-2"/>
                  <c:y val="-3.691455054865824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4.4533320120705669E-2"/>
                  <c:y val="-4.1781184010029261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8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19.739999999999991</c:v>
                </c:pt>
                <c:pt idx="1">
                  <c:v>19.989999999999984</c:v>
                </c:pt>
                <c:pt idx="2">
                  <c:v>20.479999999999993</c:v>
                </c:pt>
                <c:pt idx="3">
                  <c:v>20.9</c:v>
                </c:pt>
                <c:pt idx="4">
                  <c:v>21.03</c:v>
                </c:pt>
                <c:pt idx="5">
                  <c:v>21.759999999999994</c:v>
                </c:pt>
                <c:pt idx="6">
                  <c:v>22.22</c:v>
                </c:pt>
                <c:pt idx="7">
                  <c:v>22.56</c:v>
                </c:pt>
                <c:pt idx="8">
                  <c:v>22.97</c:v>
                </c:pt>
                <c:pt idx="9">
                  <c:v>23.979999999999993</c:v>
                </c:pt>
              </c:numCache>
            </c:numRef>
          </c:val>
        </c:ser>
        <c:dLbls>
          <c:showVal val="1"/>
        </c:dLbls>
        <c:marker val="1"/>
        <c:axId val="214326272"/>
        <c:axId val="214332160"/>
      </c:lineChart>
      <c:catAx>
        <c:axId val="2143057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8312883435582837"/>
              <c:y val="0.8196286472148545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324352"/>
        <c:crosses val="autoZero"/>
        <c:lblAlgn val="ctr"/>
        <c:lblOffset val="100"/>
        <c:tickLblSkip val="1"/>
        <c:tickMarkSkip val="1"/>
      </c:catAx>
      <c:valAx>
        <c:axId val="214324352"/>
        <c:scaling>
          <c:orientation val="minMax"/>
          <c:max val="16"/>
          <c:min val="0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тыс.кв.метров</a:t>
                </a:r>
              </a:p>
            </c:rich>
          </c:tx>
          <c:layout>
            <c:manualLayout>
              <c:xMode val="edge"/>
              <c:yMode val="edge"/>
              <c:x val="1.3803680981595096E-2"/>
              <c:y val="0.35013262599469508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305792"/>
        <c:crosses val="autoZero"/>
        <c:crossBetween val="between"/>
        <c:majorUnit val="1"/>
        <c:minorUnit val="1"/>
      </c:valAx>
      <c:catAx>
        <c:axId val="214326272"/>
        <c:scaling>
          <c:orientation val="minMax"/>
        </c:scaling>
        <c:delete val="1"/>
        <c:axPos val="b"/>
        <c:numFmt formatCode="General" sourceLinked="1"/>
        <c:tickLblPos val="nextTo"/>
        <c:crossAx val="214332160"/>
        <c:crosses val="autoZero"/>
        <c:lblAlgn val="ctr"/>
        <c:lblOffset val="100"/>
      </c:catAx>
      <c:valAx>
        <c:axId val="214332160"/>
        <c:scaling>
          <c:orientation val="minMax"/>
          <c:max val="25"/>
        </c:scaling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FF66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кв.метров</a:t>
                </a:r>
              </a:p>
            </c:rich>
          </c:tx>
          <c:layout>
            <c:manualLayout>
              <c:xMode val="edge"/>
              <c:yMode val="edge"/>
              <c:x val="0.9647239263803683"/>
              <c:y val="0.38726790450928394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solidFill>
            <a:srgbClr val="FFFFFF"/>
          </a:solidFill>
          <a:ln w="12700">
            <a:solidFill>
              <a:srgbClr val="FF66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FF66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326272"/>
        <c:crosses val="max"/>
        <c:crossBetween val="between"/>
        <c:majorUnit val="5"/>
        <c:minorUnit val="5"/>
      </c:valAx>
      <c:spPr>
        <a:gradFill rotWithShape="0">
          <a:gsLst>
            <a:gs pos="0">
              <a:srgbClr val="CCFFCC">
                <a:gamma/>
                <a:shade val="46275"/>
                <a:invGamma/>
              </a:srgbClr>
            </a:gs>
            <a:gs pos="100000">
              <a:srgbClr val="CCFFCC"/>
            </a:gs>
          </a:gsLst>
          <a:path path="rect">
            <a:fillToRect l="50000" t="50000" r="50000" b="50000"/>
          </a:path>
        </a:gra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5889570552147229E-2"/>
          <c:y val="0.87002652519893897"/>
          <c:w val="0.81748466257668739"/>
          <c:h val="0.1193633952254641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Доля растениеводства и животноводства в общем объеме сельского хозяйства</a:t>
            </a:r>
          </a:p>
        </c:rich>
      </c:tx>
      <c:layout>
        <c:manualLayout>
          <c:xMode val="edge"/>
          <c:yMode val="edge"/>
          <c:x val="0.14084507042253527"/>
          <c:y val="2.0161290322580638E-2"/>
        </c:manualLayout>
      </c:layout>
      <c:spPr>
        <a:noFill/>
        <a:ln w="25401">
          <a:noFill/>
        </a:ln>
      </c:spPr>
    </c:title>
    <c:view3D>
      <c:rotX val="20"/>
      <c:rotY val="180"/>
      <c:perspective val="0"/>
    </c:view3D>
    <c:plotArea>
      <c:layout>
        <c:manualLayout>
          <c:layoutTarget val="inner"/>
          <c:xMode val="edge"/>
          <c:yMode val="edge"/>
          <c:x val="0.34330985915492968"/>
          <c:y val="0.27016129032258068"/>
          <c:w val="0.30281690140845097"/>
          <c:h val="0.330645161290322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4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0848400663775252E-2"/>
                  <c:y val="5.4213684654766381E-4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42,4%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5.2092595008124278E-2"/>
                  <c:y val="-9.0834257120710526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57,6%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животноводство</c:v>
                </c:pt>
                <c:pt idx="1">
                  <c:v>растениеводство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571</c:v>
                </c:pt>
                <c:pt idx="1">
                  <c:v>774.5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14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животноводство</c:v>
                </c:pt>
                <c:pt idx="1">
                  <c:v>растениеводство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14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животноводство</c:v>
                </c:pt>
                <c:pt idx="1">
                  <c:v>растениеводство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Percent val="1"/>
        </c:dLbls>
      </c:pie3DChart>
      <c:spPr>
        <a:noFill/>
        <a:ln w="12700">
          <a:solidFill>
            <a:srgbClr val="FFFFFF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467741935483908"/>
          <c:w val="1"/>
          <c:h val="0.16532258064516128"/>
        </c:manualLayout>
      </c:layout>
      <c:spPr>
        <a:noFill/>
        <a:ln w="25401">
          <a:noFill/>
        </a:ln>
      </c:spPr>
      <c:txPr>
        <a:bodyPr/>
        <a:lstStyle/>
        <a:p>
          <a:pPr>
            <a:defRPr sz="158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Выпуск продукции сельского хозяйства в хозяйствах всех категорий в ценах соответствующего периода</a:t>
            </a:r>
          </a:p>
        </c:rich>
      </c:tx>
      <c:layout>
        <c:manualLayout>
          <c:xMode val="edge"/>
          <c:yMode val="edge"/>
          <c:x val="0.13036020583190394"/>
          <c:y val="2.179836512261581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835334476843913"/>
          <c:y val="0.20163487738419619"/>
          <c:w val="0.81989708404802764"/>
          <c:h val="0.57765667574931878"/>
        </c:manualLayout>
      </c:layout>
      <c:lineChart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3.6619611702156159E-3"/>
                  <c:y val="5.2109963317878852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6744963304023571E-3"/>
                  <c:y val="1.1711660595219028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6.7113501422904377E-3"/>
                  <c:y val="-5.1519980762889167E-3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6.5206902403002701E-3"/>
                  <c:y val="-5.2971308103178724E-3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3366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1283</c:v>
                </c:pt>
                <c:pt idx="1">
                  <c:v>1070.9000000000001</c:v>
                </c:pt>
                <c:pt idx="2">
                  <c:v>1435.8</c:v>
                </c:pt>
                <c:pt idx="3" formatCode="#,##0.00">
                  <c:v>963.6</c:v>
                </c:pt>
                <c:pt idx="4" formatCode="#,##0.00">
                  <c:v>1236.7</c:v>
                </c:pt>
                <c:pt idx="5" formatCode="#,##0.00">
                  <c:v>1115.7</c:v>
                </c:pt>
                <c:pt idx="6" formatCode="#,##0.00">
                  <c:v>1383.9</c:v>
                </c:pt>
                <c:pt idx="7">
                  <c:v>1429.4</c:v>
                </c:pt>
                <c:pt idx="8">
                  <c:v>1345.6</c:v>
                </c:pt>
                <c:pt idx="9">
                  <c:v>1194.7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в процентах к предыдущему году в сопоставимых ценах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6913380846470389E-2"/>
                  <c:y val="-5.708069306332468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2541433544343999E-2"/>
                  <c:y val="-4.00860836388973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7586118804069495E-2"/>
                  <c:y val="-4.776078981569847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2922576304687587E-2"/>
                  <c:y val="-4.590144786531279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340465436029652E-2"/>
                  <c:y val="-4.63646212004414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272052867052009E-2"/>
                  <c:y val="-5.8601600131909598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3494201923384783E-2"/>
                  <c:y val="-4.6836066978484359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6.7406988755049121E-2"/>
                  <c:y val="-4.4804407507807335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2.1285293225752382E-2"/>
                  <c:y val="-7.61057865764737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8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r"/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114.5</c:v>
                </c:pt>
                <c:pt idx="1">
                  <c:v>79</c:v>
                </c:pt>
                <c:pt idx="2">
                  <c:v>127.9</c:v>
                </c:pt>
                <c:pt idx="3">
                  <c:v>68.3</c:v>
                </c:pt>
                <c:pt idx="4">
                  <c:v>123.3</c:v>
                </c:pt>
                <c:pt idx="5">
                  <c:v>99.8</c:v>
                </c:pt>
                <c:pt idx="6">
                  <c:v>102.8</c:v>
                </c:pt>
                <c:pt idx="7">
                  <c:v>100.4</c:v>
                </c:pt>
                <c:pt idx="8">
                  <c:v>95.8</c:v>
                </c:pt>
                <c:pt idx="9">
                  <c:v>93.5</c:v>
                </c:pt>
              </c:numCache>
            </c:numRef>
          </c:val>
        </c:ser>
        <c:dLbls>
          <c:showVal val="1"/>
        </c:dLbls>
        <c:marker val="1"/>
        <c:axId val="213637376"/>
        <c:axId val="213660032"/>
      </c:lineChart>
      <c:catAx>
        <c:axId val="2136373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9742710120068639"/>
              <c:y val="0.8637602179836514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660032"/>
        <c:crosses val="autoZero"/>
        <c:lblAlgn val="ctr"/>
        <c:lblOffset val="100"/>
        <c:tickLblSkip val="1"/>
        <c:tickMarkSkip val="1"/>
      </c:catAx>
      <c:valAx>
        <c:axId val="213660032"/>
        <c:scaling>
          <c:orientation val="minMax"/>
          <c:max val="2000"/>
          <c:min val="0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1.0291595197255581E-2"/>
              <c:y val="0.3814713896457768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808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637376"/>
        <c:crosses val="autoZero"/>
        <c:crossBetween val="midCat"/>
        <c:majorUnit val="500"/>
        <c:minorUnit val="500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7735849056603793E-2"/>
          <c:y val="0.92370572207084489"/>
          <c:w val="0.95711835334476869"/>
          <c:h val="6.539509536784741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3863636363636373"/>
          <c:y val="8.1081081081081086E-2"/>
          <c:w val="0.46969696969696983"/>
          <c:h val="0.5297297297297297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9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845573621479127E-2"/>
                  <c:y val="-0.11247821049395851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1.1052086670984255E-2"/>
                  <c:y val="8.0740714063548935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9.2159264182885801E-3"/>
                  <c:y val="0.12760352357202753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4.658475645089818E-3"/>
                  <c:y val="8.7833010478679918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6.38818784015631E-3"/>
                  <c:y val="-7.9263287515255992E-2"/>
                </c:manualLayout>
              </c:layout>
              <c:dLblPos val="bestFit"/>
              <c:showPercent val="1"/>
            </c:dLbl>
            <c:dLbl>
              <c:idx val="5"/>
              <c:dLblPos val="bestFit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Sheet1!$B$1:$G$1</c:f>
              <c:strCache>
                <c:ptCount val="6"/>
                <c:pt idx="0">
                  <c:v>торговля</c:v>
                </c:pt>
                <c:pt idx="1">
                  <c:v>общественное питание</c:v>
                </c:pt>
                <c:pt idx="2">
                  <c:v>сельское хозяйство</c:v>
                </c:pt>
                <c:pt idx="3">
                  <c:v>строительство</c:v>
                </c:pt>
                <c:pt idx="4">
                  <c:v>обрабатывающие производства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50</c:v>
                </c:pt>
                <c:pt idx="1">
                  <c:v>5</c:v>
                </c:pt>
                <c:pt idx="2">
                  <c:v>15</c:v>
                </c:pt>
                <c:pt idx="3">
                  <c:v>3</c:v>
                </c:pt>
                <c:pt idx="4">
                  <c:v>7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19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торговля</c:v>
                </c:pt>
                <c:pt idx="1">
                  <c:v>общественное питание</c:v>
                </c:pt>
                <c:pt idx="2">
                  <c:v>сельское хозяйство</c:v>
                </c:pt>
                <c:pt idx="3">
                  <c:v>строительство</c:v>
                </c:pt>
                <c:pt idx="4">
                  <c:v>обрабатывающие производства</c:v>
                </c:pt>
                <c:pt idx="5">
                  <c:v>прочие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</c:pie3DChart>
      <c:spPr>
        <a:noFill/>
        <a:ln w="12700">
          <a:solidFill>
            <a:srgbClr val="FFFFFF"/>
          </a:solidFill>
          <a:prstDash val="solid"/>
        </a:ln>
      </c:spPr>
    </c:plotArea>
    <c:legend>
      <c:legendPos val="b"/>
      <c:spPr>
        <a:noFill/>
        <a:ln w="25400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Оборот розничной торговли по крупным и средним организациям</a:t>
            </a:r>
          </a:p>
        </c:rich>
      </c:tx>
      <c:layout>
        <c:manualLayout>
          <c:xMode val="edge"/>
          <c:yMode val="edge"/>
          <c:x val="0.15207373271889404"/>
          <c:y val="3.178484107579463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213517665130569"/>
          <c:y val="0.20537897310513448"/>
          <c:w val="0.86175115207373321"/>
          <c:h val="0.54278728606356963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gradFill rotWithShape="0">
              <a:gsLst>
                <a:gs pos="0">
                  <a:srgbClr val="00FF00"/>
                </a:gs>
                <a:gs pos="50000">
                  <a:srgbClr val="00FF00">
                    <a:gamma/>
                    <a:shade val="46275"/>
                    <a:invGamma/>
                  </a:srgbClr>
                </a:gs>
                <a:gs pos="100000">
                  <a:srgbClr val="00FF00"/>
                </a:gs>
              </a:gsLst>
              <a:lin ang="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3"/>
              <c:layout>
                <c:manualLayout>
                  <c:x val="4.0849532430280453E-3"/>
                  <c:y val="-6.0116346553366062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5.1849772743563683E-4"/>
                  <c:y val="8.4156271229995014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762.4</c:v>
                </c:pt>
                <c:pt idx="1">
                  <c:v>932.4</c:v>
                </c:pt>
                <c:pt idx="2">
                  <c:v>1108.8</c:v>
                </c:pt>
                <c:pt idx="3">
                  <c:v>1697.8</c:v>
                </c:pt>
                <c:pt idx="4">
                  <c:v>907</c:v>
                </c:pt>
                <c:pt idx="5">
                  <c:v>930.6</c:v>
                </c:pt>
                <c:pt idx="6">
                  <c:v>930.4</c:v>
                </c:pt>
                <c:pt idx="7">
                  <c:v>964.7</c:v>
                </c:pt>
                <c:pt idx="8">
                  <c:v>1096.3</c:v>
                </c:pt>
                <c:pt idx="9">
                  <c:v>1244.3</c:v>
                </c:pt>
              </c:numCache>
            </c:numRef>
          </c:val>
        </c:ser>
        <c:dLbls>
          <c:showVal val="1"/>
        </c:dLbls>
        <c:axId val="214404480"/>
        <c:axId val="214537728"/>
      </c:barChart>
      <c:catAx>
        <c:axId val="2144044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145929339477725"/>
              <c:y val="0.8239608801955992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537728"/>
        <c:crosses val="autoZero"/>
        <c:lblAlgn val="ctr"/>
        <c:lblOffset val="100"/>
        <c:tickLblSkip val="1"/>
        <c:tickMarkSkip val="1"/>
      </c:catAx>
      <c:valAx>
        <c:axId val="214537728"/>
        <c:scaling>
          <c:orientation val="minMax"/>
          <c:max val="2500"/>
          <c:min val="0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1.536098310291859E-2"/>
              <c:y val="0.37897310513447457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404480"/>
        <c:crosses val="autoZero"/>
        <c:crossBetween val="between"/>
        <c:majorUnit val="500"/>
        <c:minorUnit val="500"/>
      </c:valAx>
      <c:spPr>
        <a:gradFill rotWithShape="0">
          <a:gsLst>
            <a:gs pos="0">
              <a:srgbClr val="CCFFCC">
                <a:gamma/>
                <a:shade val="46275"/>
                <a:invGamma/>
              </a:srgbClr>
            </a:gs>
            <a:gs pos="100000">
              <a:srgbClr val="CCFFCC"/>
            </a:gs>
          </a:gsLst>
          <a:path path="rect">
            <a:fillToRect l="50000" t="50000" r="50000" b="50000"/>
          </a:path>
        </a:gra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0552995391705088"/>
          <c:y val="0.90220048899755478"/>
          <c:w val="0.23963133640552994"/>
          <c:h val="5.867970660146696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Оборот общественного питания</a:t>
            </a:r>
          </a:p>
        </c:rich>
      </c:tx>
      <c:layout>
        <c:manualLayout>
          <c:xMode val="edge"/>
          <c:yMode val="edge"/>
          <c:x val="0.31669266770670845"/>
          <c:y val="2.1212121212121213E-2"/>
        </c:manualLayout>
      </c:layout>
      <c:spPr>
        <a:noFill/>
        <a:ln w="25400">
          <a:noFill/>
        </a:ln>
      </c:spPr>
    </c:title>
    <c:view3D>
      <c:hPercent val="45"/>
      <c:depthPercent val="100"/>
      <c:rAngAx val="1"/>
    </c:view3D>
    <c:floor>
      <c:spPr>
        <a:gradFill rotWithShape="0">
          <a:gsLst>
            <a:gs pos="0">
              <a:srgbClr val="FFFF00"/>
            </a:gs>
            <a:gs pos="100000">
              <a:srgbClr val="FFFF99"/>
            </a:gs>
          </a:gsLst>
          <a:lin ang="5400000" scaled="1"/>
        </a:gradFill>
        <a:ln w="9525">
          <a:noFill/>
        </a:ln>
      </c:spPr>
    </c:floor>
    <c:sideWall>
      <c:spPr>
        <a:gradFill rotWithShape="0">
          <a:gsLst>
            <a:gs pos="0">
              <a:srgbClr val="FFFF99"/>
            </a:gs>
            <a:gs pos="100000">
              <a:srgbClr val="FFFF00"/>
            </a:gs>
          </a:gsLst>
          <a:lin ang="5400000" scaled="1"/>
        </a:gradFill>
        <a:ln w="25400">
          <a:noFill/>
        </a:ln>
      </c:spPr>
    </c:sideWall>
    <c:backWall>
      <c:spPr>
        <a:gradFill rotWithShape="0">
          <a:gsLst>
            <a:gs pos="0">
              <a:srgbClr val="FFFF99"/>
            </a:gs>
            <a:gs pos="100000">
              <a:srgbClr val="FFFF00"/>
            </a:gs>
          </a:gsLst>
          <a:lin ang="5400000" scaled="1"/>
        </a:gra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2683307332293315E-2"/>
          <c:y val="0.12121212121212124"/>
          <c:w val="0.91731669266770666"/>
          <c:h val="0.681818181818181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0000FF"/>
                </a:gs>
                <a:gs pos="100000">
                  <a:srgbClr val="9999FF"/>
                </a:gs>
              </a:gsLst>
              <a:lin ang="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3407268784673758E-3"/>
                  <c:y val="-1.8618412003312382E-2"/>
                </c:manualLayout>
              </c:layout>
              <c:showVal val="1"/>
            </c:dLbl>
            <c:dLbl>
              <c:idx val="1"/>
              <c:layout>
                <c:manualLayout>
                  <c:x val="1.3506076070419292E-2"/>
                  <c:y val="-1.1342203882268687E-2"/>
                </c:manualLayout>
              </c:layout>
              <c:showVal val="1"/>
            </c:dLbl>
            <c:dLbl>
              <c:idx val="2"/>
              <c:layout>
                <c:manualLayout>
                  <c:x val="3.0152085752503791E-2"/>
                  <c:y val="-2.0357432593653042E-2"/>
                </c:manualLayout>
              </c:layout>
              <c:showVal val="1"/>
            </c:dLbl>
            <c:dLbl>
              <c:idx val="3"/>
              <c:layout>
                <c:manualLayout>
                  <c:x val="1.091649890701415E-2"/>
                  <c:y val="-4.0703468216205709E-3"/>
                </c:manualLayout>
              </c:layout>
              <c:showVal val="1"/>
            </c:dLbl>
            <c:dLbl>
              <c:idx val="4"/>
              <c:layout>
                <c:manualLayout>
                  <c:x val="2.4442383784106413E-2"/>
                  <c:y val="-2.2176484623913965E-2"/>
                </c:manualLayout>
              </c:layout>
              <c:showVal val="1"/>
            </c:dLbl>
            <c:dLbl>
              <c:idx val="5"/>
              <c:layout>
                <c:manualLayout>
                  <c:x val="9.8869841461050774E-3"/>
                  <c:y val="-1.7595211026429126E-2"/>
                </c:manualLayout>
              </c:layout>
              <c:showVal val="1"/>
            </c:dLbl>
            <c:dLbl>
              <c:idx val="6"/>
              <c:layout>
                <c:manualLayout>
                  <c:x val="1.0292415576783436E-2"/>
                  <c:y val="-2.2808539306918119E-2"/>
                </c:manualLayout>
              </c:layout>
              <c:showVal val="1"/>
            </c:dLbl>
            <c:dLbl>
              <c:idx val="7"/>
              <c:layout>
                <c:manualLayout>
                  <c:x val="6.4290909336098172E-3"/>
                  <c:y val="-1.9766109450222506E-2"/>
                </c:manualLayout>
              </c:layout>
              <c:showVal val="1"/>
            </c:dLbl>
            <c:dLbl>
              <c:idx val="8"/>
              <c:layout>
                <c:manualLayout>
                  <c:x val="7.7028384133781304E-3"/>
                  <c:y val="-1.4397069350288449E-2"/>
                </c:manualLayout>
              </c:layout>
              <c:showVal val="1"/>
            </c:dLbl>
            <c:dLbl>
              <c:idx val="9"/>
              <c:layout>
                <c:manualLayout>
                  <c:x val="1.250798056161153E-2"/>
                  <c:y val="-2.2142714780973176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115.1</c:v>
                </c:pt>
                <c:pt idx="1">
                  <c:v>117.9</c:v>
                </c:pt>
                <c:pt idx="2">
                  <c:v>108.6</c:v>
                </c:pt>
                <c:pt idx="3">
                  <c:v>117.2</c:v>
                </c:pt>
                <c:pt idx="4">
                  <c:v>107.9</c:v>
                </c:pt>
                <c:pt idx="5">
                  <c:v>101.5</c:v>
                </c:pt>
                <c:pt idx="6">
                  <c:v>85.5</c:v>
                </c:pt>
                <c:pt idx="7">
                  <c:v>96</c:v>
                </c:pt>
                <c:pt idx="8">
                  <c:v>96.9</c:v>
                </c:pt>
                <c:pt idx="9">
                  <c:v>211.7</c:v>
                </c:pt>
              </c:numCache>
            </c:numRef>
          </c:val>
        </c:ser>
        <c:gapDepth val="0"/>
        <c:shape val="box"/>
        <c:axId val="214550784"/>
        <c:axId val="214434176"/>
        <c:axId val="0"/>
      </c:bar3DChart>
      <c:catAx>
        <c:axId val="214550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2262090483619361"/>
              <c:y val="0.89090909090909109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4434176"/>
        <c:crosses val="autoZero"/>
        <c:auto val="1"/>
        <c:lblAlgn val="ctr"/>
        <c:lblOffset val="100"/>
        <c:tickLblSkip val="1"/>
        <c:tickMarkSkip val="1"/>
      </c:catAx>
      <c:valAx>
        <c:axId val="214434176"/>
        <c:scaling>
          <c:orientation val="minMax"/>
        </c:scaling>
        <c:axPos val="l"/>
        <c:majorGridlines>
          <c:spPr>
            <a:ln w="12700">
              <a:solidFill>
                <a:srgbClr val="FFFFFF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7.8003120124804995E-2"/>
              <c:y val="0.36363636363636376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45507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4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Оборот платных услуг населению
по крупным и средним организациям</a:t>
            </a:r>
          </a:p>
        </c:rich>
      </c:tx>
      <c:layout>
        <c:manualLayout>
          <c:xMode val="edge"/>
          <c:yMode val="edge"/>
          <c:x val="0.24885496183206118"/>
          <c:y val="3.072625698324021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0076335877862601"/>
          <c:y val="0.23184357541899442"/>
          <c:w val="0.87328244274809164"/>
          <c:h val="0.49720670391061472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gradFill rotWithShape="0">
              <a:gsLst>
                <a:gs pos="0">
                  <a:srgbClr val="00FF00"/>
                </a:gs>
                <a:gs pos="50000">
                  <a:srgbClr val="00FF00">
                    <a:gamma/>
                    <a:shade val="46275"/>
                    <a:invGamma/>
                  </a:srgbClr>
                </a:gs>
                <a:gs pos="100000">
                  <a:srgbClr val="00FF00"/>
                </a:gs>
              </a:gsLst>
              <a:lin ang="0" scaled="1"/>
            </a:gra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3"/>
              <c:layout>
                <c:manualLayout>
                  <c:x val="4.4108383599498662E-3"/>
                  <c:y val="-5.8058163545684459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4.4878078468368481E-4"/>
                  <c:y val="5.4579899488517297E-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221.3</c:v>
                </c:pt>
                <c:pt idx="1">
                  <c:v>246.7</c:v>
                </c:pt>
                <c:pt idx="2">
                  <c:v>280.2</c:v>
                </c:pt>
                <c:pt idx="3">
                  <c:v>339.3</c:v>
                </c:pt>
                <c:pt idx="4">
                  <c:v>356</c:v>
                </c:pt>
                <c:pt idx="5">
                  <c:v>357.4</c:v>
                </c:pt>
                <c:pt idx="6">
                  <c:v>337.1</c:v>
                </c:pt>
                <c:pt idx="7">
                  <c:v>395</c:v>
                </c:pt>
                <c:pt idx="8">
                  <c:v>407.5</c:v>
                </c:pt>
                <c:pt idx="9">
                  <c:v>425.8</c:v>
                </c:pt>
              </c:numCache>
            </c:numRef>
          </c:val>
        </c:ser>
        <c:dLbls>
          <c:showVal val="1"/>
        </c:dLbls>
        <c:axId val="214462848"/>
        <c:axId val="214464768"/>
      </c:barChart>
      <c:catAx>
        <c:axId val="2144628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0992366412213741"/>
              <c:y val="0.8156424581005589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464768"/>
        <c:crosses val="autoZero"/>
        <c:lblAlgn val="ctr"/>
        <c:lblOffset val="100"/>
        <c:tickLblSkip val="1"/>
        <c:tickMarkSkip val="1"/>
      </c:catAx>
      <c:valAx>
        <c:axId val="214464768"/>
        <c:scaling>
          <c:orientation val="minMax"/>
          <c:max val="450"/>
          <c:min val="0"/>
        </c:scaling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1.5267175572519087E-2"/>
              <c:y val="0.3687150837988828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4462848"/>
        <c:crosses val="autoZero"/>
        <c:crossBetween val="between"/>
        <c:majorUnit val="50"/>
        <c:minorUnit val="50"/>
      </c:valAx>
      <c:spPr>
        <a:gradFill rotWithShape="0">
          <a:gsLst>
            <a:gs pos="0">
              <a:srgbClr val="CCFFCC">
                <a:gamma/>
                <a:shade val="46275"/>
                <a:invGamma/>
              </a:srgbClr>
            </a:gs>
            <a:gs pos="100000">
              <a:srgbClr val="CCFFCC"/>
            </a:gs>
          </a:gsLst>
          <a:path path="rect">
            <a:fillToRect l="50000" t="50000" r="50000" b="50000"/>
          </a:path>
        </a:gra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"/>
          <c:y val="0.89385474860335201"/>
          <c:w val="0.23816793893129776"/>
          <c:h val="6.703910614525140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Население Пластовского муниципального района 
(на 01.01.2008 г)</a:t>
            </a:r>
          </a:p>
        </c:rich>
      </c:tx>
      <c:layout>
        <c:manualLayout>
          <c:xMode val="edge"/>
          <c:yMode val="edge"/>
          <c:x val="0.17343173431734327"/>
          <c:y val="0"/>
        </c:manualLayout>
      </c:layout>
      <c:spPr>
        <a:noFill/>
        <a:ln w="25401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367158671586716"/>
          <c:y val="0.35714285714285737"/>
          <c:w val="0.3210332103321033"/>
          <c:h val="0.328571428571428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6589882801620371E-2"/>
                  <c:y val="-8.7492722500596434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городское население
66%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  <c:showLegendKey val="1"/>
            </c:dLbl>
            <c:dLbl>
              <c:idx val="1"/>
              <c:layout>
                <c:manualLayout>
                  <c:x val="3.0493203039703667E-2"/>
                  <c:y val="-2.5201622524457221E-2"/>
                </c:manualLayout>
              </c:layout>
              <c:tx>
                <c:rich>
                  <a:bodyPr/>
                  <a:lstStyle/>
                  <a:p>
                    <a:pPr>
                      <a:defRPr sz="8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сельское население
34%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  <c:showLegendKey val="1"/>
            </c:dLbl>
            <c:numFmt formatCode="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1"/>
            <c:showCatName val="1"/>
            <c:showPercent val="1"/>
            <c:showLeaderLines val="1"/>
            <c:leaderLines>
              <c:spPr>
                <a:ln w="25401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Sheet1!$B$1:$C$1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17391</c:v>
                </c:pt>
                <c:pt idx="1">
                  <c:v>8838</c:v>
                </c:pt>
              </c:numCache>
            </c:numRef>
          </c:val>
        </c:ser>
        <c:dLbls>
          <c:showLegendKey val="1"/>
          <c:showCatName val="1"/>
          <c:showPercent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7121771217712176"/>
          <c:y val="0.87142857142857189"/>
          <c:w val="0.47047970479704815"/>
          <c:h val="0.1095238095238095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t>Население Пластовского муниципального района 
(на 01.01.2019 г)</a:t>
            </a:r>
          </a:p>
        </c:rich>
      </c:tx>
      <c:layout>
        <c:manualLayout>
          <c:xMode val="edge"/>
          <c:yMode val="edge"/>
          <c:x val="0.19343696027633858"/>
          <c:y val="0"/>
        </c:manualLayout>
      </c:layout>
      <c:spPr>
        <a:noFill/>
        <a:ln w="2539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36269430051813473"/>
          <c:y val="0.32051282051282076"/>
          <c:w val="0.3264248704663214"/>
          <c:h val="0.3205128205128207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66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68911917098445596"/>
                  <c:y val="0.43589743589743601"/>
                </c:manualLayout>
              </c:layout>
              <c:tx>
                <c:rich>
                  <a:bodyPr/>
                  <a:lstStyle/>
                  <a:p>
                    <a:pPr>
                      <a:defRPr sz="875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t>городское население
68,6%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  <c:showLegendKey val="1"/>
            </c:dLbl>
            <c:dLbl>
              <c:idx val="1"/>
              <c:layout>
                <c:manualLayout>
                  <c:xMode val="edge"/>
                  <c:yMode val="edge"/>
                  <c:x val="0.21243523316062193"/>
                  <c:y val="0.26068376068376081"/>
                </c:manualLayout>
              </c:layout>
              <c:tx>
                <c:rich>
                  <a:bodyPr/>
                  <a:lstStyle/>
                  <a:p>
                    <a:pPr>
                      <a:defRPr sz="875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t>сельское население
31,4%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bestFit"/>
              <c:showLegendKey val="1"/>
            </c:dLbl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1"/>
            <c:showCatName val="1"/>
            <c:showPercent val="1"/>
            <c:showLeaderLines val="1"/>
            <c:leaderLines>
              <c:spPr>
                <a:ln w="25399">
                  <a:solidFill>
                    <a:srgbClr val="000000"/>
                  </a:solidFill>
                  <a:prstDash val="solid"/>
                </a:ln>
              </c:spPr>
            </c:leaderLines>
          </c:dLbls>
          <c:cat>
            <c:strRef>
              <c:f>Sheet1!$B$1:$C$1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17260</c:v>
                </c:pt>
                <c:pt idx="1">
                  <c:v>7900</c:v>
                </c:pt>
              </c:numCache>
            </c:numRef>
          </c:val>
        </c:ser>
        <c:dLbls>
          <c:showLegendKey val="1"/>
          <c:showCatName val="1"/>
          <c:showPercent val="1"/>
        </c:dLbls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6770293609671836"/>
          <c:y val="0.88461538461538469"/>
          <c:w val="0.47322970639032824"/>
          <c:h val="0.1025641025641025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t>Рождаемость и смертность в Пластовском муниципальном районе (на 1000 человек населения) 
в 2009-2018 годах</a:t>
            </a:r>
          </a:p>
        </c:rich>
      </c:tx>
      <c:layout>
        <c:manualLayout>
          <c:xMode val="edge"/>
          <c:yMode val="edge"/>
          <c:x val="0.12359550561797752"/>
          <c:y val="2.0512820512820516E-2"/>
        </c:manualLayout>
      </c:layout>
      <c:spPr>
        <a:noFill/>
        <a:ln w="25337">
          <a:noFill/>
        </a:ln>
      </c:spPr>
    </c:title>
    <c:plotArea>
      <c:layout>
        <c:manualLayout>
          <c:layoutTarget val="inner"/>
          <c:xMode val="edge"/>
          <c:yMode val="edge"/>
          <c:x val="6.2600321027287339E-2"/>
          <c:y val="0.31282051282051293"/>
          <c:w val="0.87158908507223087"/>
          <c:h val="0.5025641025641025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ln w="38005">
              <a:solidFill>
                <a:srgbClr val="00FF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00FF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Mode val="edge"/>
                  <c:yMode val="edge"/>
                  <c:x val="0.12520064205457465"/>
                  <c:y val="0.5153846153846153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22471910112359555"/>
                  <c:y val="0.5102564102564102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1781701444622795"/>
                  <c:y val="0.48461538461538461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9646869983948668"/>
                  <c:y val="0.5179487179487182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8475120385232745"/>
                  <c:y val="0.4897435897435897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7142857142857173"/>
                  <c:y val="0.5461538461538463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6613162118780096"/>
                  <c:y val="0.56923076923076898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74478330658105962"/>
                  <c:y val="0.58205128205128209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82985553772070653"/>
                  <c:y val="0.57179487179487221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91653290529694975"/>
                  <c:y val="0"/>
                </c:manualLayout>
              </c:layout>
              <c:dLblPos val="r"/>
              <c:showVal val="1"/>
            </c:dLbl>
            <c:spPr>
              <a:noFill/>
              <a:ln w="25337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8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15.9</c:v>
                </c:pt>
                <c:pt idx="1">
                  <c:v>14.8</c:v>
                </c:pt>
                <c:pt idx="2">
                  <c:v>15.7</c:v>
                </c:pt>
                <c:pt idx="3">
                  <c:v>16.8</c:v>
                </c:pt>
                <c:pt idx="4">
                  <c:v>15.6</c:v>
                </c:pt>
                <c:pt idx="5">
                  <c:v>16.5</c:v>
                </c:pt>
                <c:pt idx="6">
                  <c:v>14.2</c:v>
                </c:pt>
                <c:pt idx="7">
                  <c:v>13.6</c:v>
                </c:pt>
                <c:pt idx="8">
                  <c:v>13.5</c:v>
                </c:pt>
                <c:pt idx="9">
                  <c:v>12.6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ln w="25337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Mode val="edge"/>
                  <c:yMode val="edge"/>
                  <c:x val="0.13162118780096313"/>
                  <c:y val="0.38461538461538475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22471910112359555"/>
                  <c:y val="0.38717948717948747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1300160513643671"/>
                  <c:y val="0.3923076923076925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9646869983948668"/>
                  <c:y val="0.4564102564102564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8154093097913331"/>
                  <c:y val="0.45384615384615384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6821829855537742"/>
                  <c:y val="0.40256410256410258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65489566613162165"/>
                  <c:y val="0.44615384615384618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74478330658105962"/>
                  <c:y val="0.43076923076923085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85553772070625955"/>
                  <c:y val="0.48461538461538461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91653290529694975"/>
                  <c:y val="1.0256410256410262E-2"/>
                </c:manualLayout>
              </c:layout>
              <c:dLblPos val="r"/>
              <c:showVal val="1"/>
            </c:dLbl>
            <c:spPr>
              <a:noFill/>
              <a:ln w="25337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FF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Sheet1!$B$1:$L$1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17.7</c:v>
                </c:pt>
                <c:pt idx="1">
                  <c:v>18.5</c:v>
                </c:pt>
                <c:pt idx="2">
                  <c:v>18.600000000000001</c:v>
                </c:pt>
                <c:pt idx="3">
                  <c:v>18.2</c:v>
                </c:pt>
                <c:pt idx="4">
                  <c:v>15.5</c:v>
                </c:pt>
                <c:pt idx="5">
                  <c:v>15.5</c:v>
                </c:pt>
                <c:pt idx="6">
                  <c:v>17.3</c:v>
                </c:pt>
                <c:pt idx="7">
                  <c:v>15.6</c:v>
                </c:pt>
                <c:pt idx="8">
                  <c:v>16</c:v>
                </c:pt>
                <c:pt idx="9">
                  <c:v>14.6</c:v>
                </c:pt>
              </c:numCache>
            </c:numRef>
          </c:val>
          <c:smooth val="1"/>
        </c:ser>
        <c:dLbls>
          <c:showVal val="1"/>
        </c:dLbls>
        <c:marker val="1"/>
        <c:axId val="472785280"/>
        <c:axId val="472786816"/>
      </c:lineChart>
      <c:catAx>
        <c:axId val="472785280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72786816"/>
        <c:crosses val="autoZero"/>
        <c:lblAlgn val="ctr"/>
        <c:lblOffset val="100"/>
        <c:tickLblSkip val="1"/>
        <c:tickMarkSkip val="1"/>
      </c:catAx>
      <c:valAx>
        <c:axId val="472786816"/>
        <c:scaling>
          <c:orientation val="minMax"/>
          <c:max val="25"/>
          <c:min val="0"/>
        </c:scaling>
        <c:axPos val="l"/>
        <c:numFmt formatCode="General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72785280"/>
        <c:crosses val="autoZero"/>
        <c:crossBetween val="midCat"/>
        <c:majorUnit val="5"/>
        <c:minorUnit val="5"/>
      </c:valAx>
      <c:spPr>
        <a:noFill/>
        <a:ln w="25337">
          <a:noFill/>
        </a:ln>
      </c:spPr>
    </c:plotArea>
    <c:legend>
      <c:legendPos val="b"/>
      <c:layout>
        <c:manualLayout>
          <c:xMode val="edge"/>
          <c:yMode val="edge"/>
          <c:x val="4.8154093097913332E-2"/>
          <c:y val="0.92051282051282046"/>
          <c:w val="0.89085072231139661"/>
          <c:h val="8.2051282051282065E-2"/>
        </c:manualLayout>
      </c:layout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9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t>Естественное и миграционное движение населения 
в 2009-2018 годах</a:t>
            </a:r>
          </a:p>
        </c:rich>
      </c:tx>
      <c:layout>
        <c:manualLayout>
          <c:xMode val="edge"/>
          <c:yMode val="edge"/>
          <c:x val="0.13439999999999999"/>
          <c:y val="1.9553072625698331E-2"/>
        </c:manualLayout>
      </c:layout>
      <c:spPr>
        <a:noFill/>
        <a:ln w="25332">
          <a:noFill/>
        </a:ln>
      </c:spPr>
    </c:title>
    <c:plotArea>
      <c:layout>
        <c:manualLayout>
          <c:layoutTarget val="inner"/>
          <c:xMode val="edge"/>
          <c:yMode val="edge"/>
          <c:x val="7.1999999999999995E-2"/>
          <c:y val="0.26815642458100553"/>
          <c:w val="0.86240000000000028"/>
          <c:h val="0.5558659217877093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сальдо естественного движения</c:v>
                </c:pt>
              </c:strCache>
            </c:strRef>
          </c:tx>
          <c:spPr>
            <a:ln w="37998">
              <a:solidFill>
                <a:srgbClr val="00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Mode val="edge"/>
                  <c:yMode val="edge"/>
                  <c:x val="0.12640000000000001"/>
                  <c:y val="0.5810055865921788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23680000000000001"/>
                  <c:y val="0.6145251396648048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0560000000000009"/>
                  <c:y val="0.62011173184357571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7120000000000009"/>
                  <c:y val="0.65363128491620115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4319999999999998"/>
                  <c:y val="0.58379888268156443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2639999999999998"/>
                  <c:y val="0.44692737430167606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5968"/>
                  <c:y val="0.63407821229050343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68320000000000003"/>
                  <c:y val="0.6256983240223466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78080000000000005"/>
                  <c:y val="0.62011173184357571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85120000000000018"/>
                  <c:y val="0.48044692737430189"/>
                </c:manualLayout>
              </c:layout>
              <c:dLblPos val="r"/>
              <c:showVal val="1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97" b="1" i="0" u="none" strike="noStrike" baseline="0">
                    <a:solidFill>
                      <a:srgbClr val="0000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0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1">
                  <c:v>-45</c:v>
                </c:pt>
                <c:pt idx="2">
                  <c:v>-96</c:v>
                </c:pt>
                <c:pt idx="3">
                  <c:v>-74</c:v>
                </c:pt>
                <c:pt idx="4">
                  <c:v>-35</c:v>
                </c:pt>
                <c:pt idx="5">
                  <c:v>2</c:v>
                </c:pt>
                <c:pt idx="6">
                  <c:v>26</c:v>
                </c:pt>
                <c:pt idx="7">
                  <c:v>-79</c:v>
                </c:pt>
                <c:pt idx="8">
                  <c:v>-52</c:v>
                </c:pt>
                <c:pt idx="9">
                  <c:v>-65</c:v>
                </c:pt>
                <c:pt idx="10">
                  <c:v>-49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сальдо миграционного движения</c:v>
                </c:pt>
              </c:strCache>
            </c:strRef>
          </c:tx>
          <c:spPr>
            <a:ln w="25332">
              <a:solidFill>
                <a:srgbClr val="FF00FF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21760000000000004"/>
                  <c:y val="0.46368715083798884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1200000000000011"/>
                  <c:y val="0.48603351955307261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41600000000000009"/>
                  <c:y val="0.6284916201117321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Mode val="edge"/>
                  <c:yMode val="edge"/>
                  <c:x val="0.44160000000000005"/>
                  <c:y val="0.46368715083798884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2480000000000004"/>
                  <c:y val="0.30167597765363141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Mode val="edge"/>
                  <c:yMode val="edge"/>
                  <c:x val="0.61760000000000026"/>
                  <c:y val="0.4217877094972069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70560000000000023"/>
                  <c:y val="0.40502793296089395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78879999999999995"/>
                  <c:y val="0.73743016759776536"/>
                </c:manualLayout>
              </c:layout>
              <c:dLblPos val="r"/>
              <c:showVal val="1"/>
            </c:dLbl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97" b="1" i="0" u="none" strike="noStrike" baseline="0">
                    <a:solidFill>
                      <a:srgbClr val="FF00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Sheet1!$B$1:$M$1</c:f>
              <c:numCache>
                <c:formatCode>General</c:formatCode>
                <c:ptCount val="12"/>
                <c:pt idx="0">
                  <c:v>0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  <c:pt idx="1">
                  <c:v>51</c:v>
                </c:pt>
                <c:pt idx="2">
                  <c:v>-89</c:v>
                </c:pt>
                <c:pt idx="3">
                  <c:v>-75</c:v>
                </c:pt>
                <c:pt idx="4">
                  <c:v>-104</c:v>
                </c:pt>
                <c:pt idx="5">
                  <c:v>-20</c:v>
                </c:pt>
                <c:pt idx="6">
                  <c:v>201</c:v>
                </c:pt>
                <c:pt idx="7">
                  <c:v>42</c:v>
                </c:pt>
                <c:pt idx="8">
                  <c:v>66</c:v>
                </c:pt>
                <c:pt idx="9">
                  <c:v>-256</c:v>
                </c:pt>
                <c:pt idx="10">
                  <c:v>-338</c:v>
                </c:pt>
              </c:numCache>
            </c:numRef>
          </c:val>
          <c:smooth val="1"/>
        </c:ser>
        <c:dLbls>
          <c:showVal val="1"/>
        </c:dLbls>
        <c:marker val="1"/>
        <c:axId val="472947712"/>
        <c:axId val="212996864"/>
      </c:lineChart>
      <c:catAx>
        <c:axId val="472947712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2996864"/>
        <c:crosses val="autoZero"/>
        <c:lblAlgn val="ctr"/>
        <c:lblOffset val="100"/>
        <c:tickLblSkip val="1"/>
        <c:tickMarkSkip val="1"/>
      </c:catAx>
      <c:valAx>
        <c:axId val="212996864"/>
        <c:scaling>
          <c:orientation val="minMax"/>
          <c:max val="350"/>
          <c:min val="-340"/>
        </c:scaling>
        <c:axPos val="l"/>
        <c:numFmt formatCode="General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72947712"/>
        <c:crosses val="autoZero"/>
        <c:crossBetween val="midCat"/>
      </c:valAx>
      <c:spPr>
        <a:noFill/>
        <a:ln w="25332">
          <a:noFill/>
        </a:ln>
      </c:spPr>
    </c:plotArea>
    <c:legend>
      <c:legendPos val="b"/>
      <c:layout>
        <c:manualLayout>
          <c:xMode val="edge"/>
          <c:yMode val="edge"/>
          <c:x val="6.720000000000001E-2"/>
          <c:y val="0.91340782122905029"/>
          <c:w val="0.88800000000000001"/>
          <c:h val="8.9385474860335185E-2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Национальный состав Пластовского муниципального района (по данным переписи 2010 года)</a:t>
            </a:r>
          </a:p>
        </c:rich>
      </c:tx>
      <c:layout>
        <c:manualLayout>
          <c:xMode val="edge"/>
          <c:yMode val="edge"/>
          <c:x val="0.15950920245398778"/>
          <c:y val="0"/>
        </c:manualLayout>
      </c:layout>
      <c:spPr>
        <a:noFill/>
        <a:ln w="25400">
          <a:noFill/>
        </a:ln>
      </c:spPr>
    </c:title>
    <c:view3D>
      <c:rotY val="60"/>
      <c:perspective val="0"/>
    </c:view3D>
    <c:plotArea>
      <c:layout>
        <c:manualLayout>
          <c:layoutTarget val="inner"/>
          <c:xMode val="edge"/>
          <c:yMode val="edge"/>
          <c:x val="0.14877300613496938"/>
          <c:y val="0.34415584415584427"/>
          <c:w val="0.51226993865030679"/>
          <c:h val="0.431818181818181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61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6338345993024867E-2"/>
                  <c:y val="8.99358806564272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русские -85,6%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0.21662873415307521"/>
                  <c:y val="-7.84162764388584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татары-6,4%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-0.17644971170125642"/>
                  <c:y val="-0.147590509162341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казахи-2,1%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-8.8705128227513155E-2"/>
                  <c:y val="-0.1525382611907645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башкиры-1,5%</a:t>
                    </a:r>
                  </a:p>
                </c:rich>
              </c:tx>
              <c:dLblPos val="bestFit"/>
            </c:dLbl>
            <c:dLbl>
              <c:idx val="4"/>
              <c:layout>
                <c:manualLayout>
                  <c:x val="2.4007891864060264E-2"/>
                  <c:y val="-0.21100961222042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украинцы-1,4%</a:t>
                    </a:r>
                  </a:p>
                </c:rich>
              </c:tx>
              <c:dLblPos val="bestFit"/>
            </c:dLbl>
            <c:dLbl>
              <c:idx val="5"/>
              <c:layout>
                <c:manualLayout>
                  <c:x val="0.12013621075287104"/>
                  <c:y val="-0.168160836670716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белорусы - 0,5%</a:t>
                    </a:r>
                  </a:p>
                </c:rich>
              </c:tx>
              <c:dLblPos val="bestFit"/>
            </c:dLbl>
            <c:dLbl>
              <c:idx val="6"/>
              <c:layout>
                <c:manualLayout>
                  <c:x val="0.11086422303871793"/>
                  <c:y val="-0.117546826801023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немцы - 0,5%</a:t>
                    </a:r>
                  </a:p>
                </c:rich>
              </c:tx>
              <c:dLblPos val="bestFit"/>
            </c:dLbl>
            <c:dLbl>
              <c:idx val="7"/>
              <c:layout>
                <c:manualLayout>
                  <c:x val="0.10606123154518474"/>
                  <c:y val="-2.3029057474162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цыгане-0,4%</a:t>
                    </a:r>
                  </a:p>
                </c:rich>
              </c:tx>
              <c:dLblPos val="bestFit"/>
            </c:dLbl>
            <c:dLbl>
              <c:idx val="8"/>
              <c:layout>
                <c:manualLayout>
                  <c:x val="0.10127711658187732"/>
                  <c:y val="2.92947858361616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мордва-0,3%</a:t>
                    </a:r>
                  </a:p>
                </c:rich>
              </c:tx>
              <c:dLblPos val="bestFit"/>
            </c:dLbl>
            <c:dLbl>
              <c:idx val="9"/>
              <c:layout>
                <c:manualLayout>
                  <c:x val="9.8113122020956525E-2"/>
                  <c:y val="0.166995932969785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армяне- 0,2%</a:t>
                    </a:r>
                  </a:p>
                </c:rich>
              </c:tx>
              <c:dLblPos val="bestFit"/>
            </c:dLbl>
            <c:dLbl>
              <c:idx val="10"/>
              <c:layout>
                <c:manualLayout>
                  <c:x val="-5.6989028526065091E-2"/>
                  <c:y val="0.1516553826998042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прочие-1,1%</a:t>
                    </a:r>
                  </a:p>
                </c:rich>
              </c:tx>
              <c:dLblPos val="bestFit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Sheet1!$B$1:$L$1</c:f>
              <c:strCache>
                <c:ptCount val="11"/>
                <c:pt idx="0">
                  <c:v>русские </c:v>
                </c:pt>
                <c:pt idx="1">
                  <c:v>татары</c:v>
                </c:pt>
                <c:pt idx="2">
                  <c:v>казахи</c:v>
                </c:pt>
                <c:pt idx="3">
                  <c:v>башкиры</c:v>
                </c:pt>
                <c:pt idx="4">
                  <c:v>украинцы</c:v>
                </c:pt>
                <c:pt idx="5">
                  <c:v>белорусы</c:v>
                </c:pt>
                <c:pt idx="6">
                  <c:v>немцы</c:v>
                </c:pt>
                <c:pt idx="7">
                  <c:v>цыгане</c:v>
                </c:pt>
                <c:pt idx="8">
                  <c:v>мордва</c:v>
                </c:pt>
                <c:pt idx="9">
                  <c:v>армяне</c:v>
                </c:pt>
                <c:pt idx="10">
                  <c:v>прочие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85.6</c:v>
                </c:pt>
                <c:pt idx="1">
                  <c:v>6.4</c:v>
                </c:pt>
                <c:pt idx="2">
                  <c:v>2.1</c:v>
                </c:pt>
                <c:pt idx="3">
                  <c:v>1.5</c:v>
                </c:pt>
                <c:pt idx="4">
                  <c:v>1.4</c:v>
                </c:pt>
                <c:pt idx="5">
                  <c:v>0.5</c:v>
                </c:pt>
                <c:pt idx="6">
                  <c:v>0.5</c:v>
                </c:pt>
                <c:pt idx="7">
                  <c:v>0.4</c:v>
                </c:pt>
                <c:pt idx="8">
                  <c:v>0.3000000000000001</c:v>
                </c:pt>
                <c:pt idx="9">
                  <c:v>0.2</c:v>
                </c:pt>
                <c:pt idx="10">
                  <c:v>1.1000000000000001</c:v>
                </c:pt>
              </c:numCache>
            </c:numRef>
          </c:val>
        </c:ser>
        <c:dLbls>
          <c:showVal val="1"/>
          <c:showCatName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1349693251533778E-3"/>
          <c:y val="0.94155844155844171"/>
          <c:w val="0.95245398773006118"/>
          <c:h val="6.1688311688311702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объема отгруженных товаров собственного производства, выполнено работ и услуг 
собственными силами </a:t>
            </a:r>
          </a:p>
        </c:rich>
      </c:tx>
      <c:layout>
        <c:manualLayout>
          <c:xMode val="edge"/>
          <c:yMode val="edge"/>
          <c:x val="0.11038961038961038"/>
          <c:y val="2.005012531328321E-2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0.16558441558441564"/>
          <c:y val="0.26817042606516289"/>
          <c:w val="0.80844155844155863"/>
          <c:h val="0.52130325814536338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gradFill rotWithShape="0">
              <a:gsLst>
                <a:gs pos="0">
                  <a:srgbClr val="0000FF">
                    <a:gamma/>
                    <a:shade val="46275"/>
                    <a:invGamma/>
                  </a:srgbClr>
                </a:gs>
                <a:gs pos="50000">
                  <a:srgbClr val="0000FF"/>
                </a:gs>
                <a:gs pos="100000">
                  <a:srgbClr val="0000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4866885658431744E-3"/>
                  <c:y val="2.3428031248417481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9.4130877181026063E-4"/>
                  <c:y val="-7.0890906438507336E-5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9.3827745216059095E-3"/>
                  <c:y val="-7.4291700379559011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8.0841479743262185E-3"/>
                  <c:y val="-9.1353460848355422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1.819330000017037E-4"/>
                  <c:y val="5.9315515127174312E-3"/>
                </c:manualLayout>
              </c:layout>
              <c:dLblPos val="outEnd"/>
              <c:showVal val="1"/>
            </c:dLbl>
            <c:spPr>
              <a:noFill/>
              <a:ln w="25338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#,##0.00</c:formatCode>
                <c:ptCount val="10"/>
                <c:pt idx="0">
                  <c:v>4104.3</c:v>
                </c:pt>
                <c:pt idx="1">
                  <c:v>4709.7</c:v>
                </c:pt>
                <c:pt idx="2">
                  <c:v>6159.7</c:v>
                </c:pt>
                <c:pt idx="3">
                  <c:v>8842.2999999999956</c:v>
                </c:pt>
                <c:pt idx="4">
                  <c:v>8727.6</c:v>
                </c:pt>
                <c:pt idx="5">
                  <c:v>10150.200000000004</c:v>
                </c:pt>
                <c:pt idx="6">
                  <c:v>16742.900000000001</c:v>
                </c:pt>
                <c:pt idx="7">
                  <c:v>21311.7</c:v>
                </c:pt>
                <c:pt idx="8">
                  <c:v>18338.900000000001</c:v>
                </c:pt>
                <c:pt idx="9" formatCode="General">
                  <c:v>20818.599999999991</c:v>
                </c:pt>
              </c:numCache>
            </c:numRef>
          </c:val>
        </c:ser>
        <c:dLbls>
          <c:showVal val="1"/>
        </c:dLbls>
        <c:axId val="213449728"/>
        <c:axId val="213456000"/>
      </c:barChart>
      <c:catAx>
        <c:axId val="2134497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4058441558441561"/>
              <c:y val="0.8671679197994987"/>
            </c:manualLayout>
          </c:layout>
          <c:spPr>
            <a:noFill/>
            <a:ln w="25338">
              <a:noFill/>
            </a:ln>
          </c:spPr>
        </c:title>
        <c:numFmt formatCode="General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456000"/>
        <c:crosses val="autoZero"/>
        <c:lblAlgn val="ctr"/>
        <c:lblOffset val="100"/>
        <c:tickLblSkip val="1"/>
        <c:tickMarkSkip val="1"/>
      </c:catAx>
      <c:valAx>
        <c:axId val="213456000"/>
        <c:scaling>
          <c:orientation val="minMax"/>
          <c:max val="25000"/>
          <c:min val="0"/>
        </c:scaling>
        <c:axPos val="l"/>
        <c:title>
          <c:tx>
            <c:rich>
              <a:bodyPr/>
              <a:lstStyle/>
              <a:p>
                <a:pPr>
                  <a:defRPr sz="99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1.6233766233766239E-2"/>
              <c:y val="0.42857142857142855"/>
            </c:manualLayout>
          </c:layout>
          <c:spPr>
            <a:noFill/>
            <a:ln w="25338">
              <a:noFill/>
            </a:ln>
          </c:spPr>
        </c:title>
        <c:numFmt formatCode="#,##0.00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FF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449728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669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9610389610389624"/>
          <c:y val="0.9323308270676689"/>
          <c:w val="0.25324675324675322"/>
          <c:h val="6.0150375939849635E-2"/>
        </c:manualLayout>
      </c:layout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67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Добыча полезных ископаемых</a:t>
            </a:r>
          </a:p>
        </c:rich>
      </c:tx>
      <c:layout>
        <c:manualLayout>
          <c:xMode val="edge"/>
          <c:yMode val="edge"/>
          <c:x val="0.27980922098569166"/>
          <c:y val="2.0057306590257881E-2"/>
        </c:manualLayout>
      </c:layout>
      <c:spPr>
        <a:noFill/>
        <a:ln w="25330">
          <a:noFill/>
        </a:ln>
      </c:spPr>
    </c:title>
    <c:plotArea>
      <c:layout>
        <c:manualLayout>
          <c:layoutTarget val="inner"/>
          <c:xMode val="edge"/>
          <c:yMode val="edge"/>
          <c:x val="0.15421303656597785"/>
          <c:y val="0.20057306590257873"/>
          <c:w val="0.81081081081081108"/>
          <c:h val="0.4641833810888254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gradFill rotWithShape="0">
              <a:gsLst>
                <a:gs pos="0">
                  <a:srgbClr val="0000FF">
                    <a:gamma/>
                    <a:shade val="46275"/>
                    <a:invGamma/>
                  </a:srgbClr>
                </a:gs>
                <a:gs pos="50000">
                  <a:srgbClr val="0000FF"/>
                </a:gs>
                <a:gs pos="100000">
                  <a:srgbClr val="0000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5526432446454883E-3"/>
                  <c:y val="-6.6046813700561084E-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193435727364404E-3"/>
                  <c:y val="-3.9548807339517605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9.1424904971363612E-3"/>
                  <c:y val="-1.040683023904715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9.1424196707237705E-3"/>
                  <c:y val="-8.559072301936442E-3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2.4395554213065041E-2"/>
                  <c:y val="-4.797234420708214E-3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 val="-2.1380733701614374E-3"/>
                  <c:y val="-1.1181683839359169E-2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-2.7001158461022238E-3"/>
                  <c:y val="-3.1612997879835132E-2"/>
                </c:manualLayout>
              </c:layout>
              <c:dLblPos val="outEnd"/>
              <c:showVal val="1"/>
            </c:dLbl>
            <c:spPr>
              <a:noFill/>
              <a:ln w="2533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#,##0.00</c:formatCode>
                <c:ptCount val="10"/>
                <c:pt idx="0">
                  <c:v>4079.6</c:v>
                </c:pt>
                <c:pt idx="1">
                  <c:v>4678.4000000000005</c:v>
                </c:pt>
                <c:pt idx="2">
                  <c:v>6128.8</c:v>
                </c:pt>
                <c:pt idx="3">
                  <c:v>8801</c:v>
                </c:pt>
                <c:pt idx="4">
                  <c:v>8531.6</c:v>
                </c:pt>
                <c:pt idx="5">
                  <c:v>9922.4</c:v>
                </c:pt>
                <c:pt idx="6">
                  <c:v>16358.3</c:v>
                </c:pt>
                <c:pt idx="7">
                  <c:v>19210</c:v>
                </c:pt>
                <c:pt idx="8">
                  <c:v>16712.7</c:v>
                </c:pt>
                <c:pt idx="9" formatCode="General">
                  <c:v>18918.8</c:v>
                </c:pt>
              </c:numCache>
            </c:numRef>
          </c:val>
        </c:ser>
        <c:dLbls>
          <c:showVal val="1"/>
        </c:dLbls>
        <c:axId val="213440000"/>
        <c:axId val="213441920"/>
      </c:barChart>
      <c:catAx>
        <c:axId val="2134400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3100158982511902"/>
              <c:y val="0.75358166189111753"/>
            </c:manualLayout>
          </c:layout>
          <c:spPr>
            <a:noFill/>
            <a:ln w="25330">
              <a:noFill/>
            </a:ln>
          </c:spPr>
        </c:title>
        <c:numFmt formatCode="General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441920"/>
        <c:crosses val="autoZero"/>
        <c:lblAlgn val="ctr"/>
        <c:lblOffset val="100"/>
        <c:tickLblSkip val="1"/>
        <c:tickMarkSkip val="1"/>
      </c:catAx>
      <c:valAx>
        <c:axId val="213441920"/>
        <c:scaling>
          <c:orientation val="minMax"/>
          <c:max val="20000"/>
          <c:min val="0"/>
        </c:scaling>
        <c:axPos val="l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7.9491255961844226E-3"/>
              <c:y val="0.31805157593123218"/>
            </c:manualLayout>
          </c:layout>
          <c:spPr>
            <a:noFill/>
            <a:ln w="25330">
              <a:noFill/>
            </a:ln>
          </c:spPr>
        </c:title>
        <c:numFmt formatCode="#,##0.00" sourceLinked="1"/>
        <c:majorTickMark val="cross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FF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440000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665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9745627980922132"/>
          <c:y val="0.82808022922636082"/>
          <c:w val="0.24801271860095389"/>
          <c:h val="6.8767908309455589E-2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66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Обрабатывающие производства</a:t>
            </a:r>
          </a:p>
        </c:rich>
      </c:tx>
      <c:layout>
        <c:manualLayout>
          <c:xMode val="edge"/>
          <c:yMode val="edge"/>
          <c:x val="0.26879999999999998"/>
          <c:y val="1.9021739130434791E-2"/>
        </c:manualLayout>
      </c:layout>
      <c:spPr>
        <a:noFill/>
        <a:ln w="25333">
          <a:noFill/>
        </a:ln>
      </c:spPr>
    </c:title>
    <c:plotArea>
      <c:layout>
        <c:manualLayout>
          <c:layoutTarget val="inner"/>
          <c:xMode val="edge"/>
          <c:yMode val="edge"/>
          <c:x val="8.8000000000000037E-2"/>
          <c:y val="0.18478260869565216"/>
          <c:w val="0.8752000000000002"/>
          <c:h val="0.45108695652173914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в действующих ценах</c:v>
                </c:pt>
              </c:strCache>
            </c:strRef>
          </c:tx>
          <c:spPr>
            <a:gradFill rotWithShape="0">
              <a:gsLst>
                <a:gs pos="0">
                  <a:srgbClr val="0000FF">
                    <a:gamma/>
                    <a:shade val="46275"/>
                    <a:invGamma/>
                  </a:srgbClr>
                </a:gs>
                <a:gs pos="50000">
                  <a:srgbClr val="0000FF"/>
                </a:gs>
                <a:gs pos="100000">
                  <a:srgbClr val="0000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1780483483520723E-3"/>
                  <c:y val="-6.0318644433092201E-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3.25805428167635E-3"/>
                  <c:y val="-3.889776038691852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0138060215000659E-2"/>
                  <c:y val="-7.5737706555564933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0464847937963878E-2"/>
                  <c:y val="-8.9170852187473483E-3"/>
                </c:manualLayout>
              </c:layout>
              <c:dLblPos val="outEnd"/>
              <c:showVal val="1"/>
            </c:dLbl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Sheet1!$B$2:$K$2</c:f>
              <c:numCache>
                <c:formatCode>#,##0.00</c:formatCode>
                <c:ptCount val="10"/>
                <c:pt idx="0">
                  <c:v>2.6</c:v>
                </c:pt>
                <c:pt idx="1">
                  <c:v>4.5999999999999996</c:v>
                </c:pt>
                <c:pt idx="2">
                  <c:v>3.7</c:v>
                </c:pt>
                <c:pt idx="3">
                  <c:v>15.1</c:v>
                </c:pt>
                <c:pt idx="4">
                  <c:v>7.3</c:v>
                </c:pt>
                <c:pt idx="5">
                  <c:v>154.30000000000001</c:v>
                </c:pt>
                <c:pt idx="6">
                  <c:v>251.4</c:v>
                </c:pt>
                <c:pt idx="7">
                  <c:v>403.1</c:v>
                </c:pt>
                <c:pt idx="8" formatCode="General">
                  <c:v>313.7</c:v>
                </c:pt>
                <c:pt idx="9" formatCode="General">
                  <c:v>357.3</c:v>
                </c:pt>
              </c:numCache>
            </c:numRef>
          </c:val>
        </c:ser>
        <c:dLbls>
          <c:showVal val="1"/>
        </c:dLbls>
        <c:axId val="213516288"/>
        <c:axId val="213518208"/>
      </c:barChart>
      <c:catAx>
        <c:axId val="21351628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9600000000000011"/>
              <c:y val="0.72010869565217428"/>
            </c:manualLayout>
          </c:layout>
          <c:spPr>
            <a:noFill/>
            <a:ln w="25333">
              <a:noFill/>
            </a:ln>
          </c:spPr>
        </c:title>
        <c:numFmt formatCode="General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518208"/>
        <c:crosses val="autoZero"/>
        <c:lblAlgn val="ctr"/>
        <c:lblOffset val="100"/>
        <c:tickLblSkip val="1"/>
        <c:tickMarkSkip val="1"/>
      </c:catAx>
      <c:valAx>
        <c:axId val="213518208"/>
        <c:scaling>
          <c:orientation val="minMax"/>
          <c:max val="420"/>
          <c:min val="0"/>
        </c:scaling>
        <c:axPos val="l"/>
        <c:title>
          <c:tx>
            <c:rich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6.400000000000002E-3"/>
              <c:y val="0.30163043478260881"/>
            </c:manualLayout>
          </c:layout>
          <c:spPr>
            <a:noFill/>
            <a:ln w="25333">
              <a:noFill/>
            </a:ln>
          </c:spPr>
        </c:title>
        <c:numFmt formatCode="#,##0.00" sourceLinked="1"/>
        <c:majorTickMark val="cross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8" b="1" i="0" u="none" strike="noStrike" baseline="0">
                <a:solidFill>
                  <a:srgbClr val="0000FF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3516288"/>
        <c:crosses val="autoZero"/>
        <c:crossBetween val="between"/>
        <c:majorUnit val="20"/>
        <c:minorUnit val="10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66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6160000000000009"/>
          <c:y val="0.79891304347826086"/>
          <c:w val="0.24960000000000004"/>
          <c:h val="6.5217391304347824E-2"/>
        </c:manualLayout>
      </c:layout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3167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6017</Words>
  <Characters>34300</Characters>
  <Application>Microsoft Office Word</Application>
  <DocSecurity>0</DocSecurity>
  <Lines>285</Lines>
  <Paragraphs>80</Paragraphs>
  <ScaleCrop>false</ScaleCrop>
  <Company/>
  <LinksUpToDate>false</LinksUpToDate>
  <CharactersWithSpaces>40237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Томарова</dc:creator>
  <cp:keywords/>
  <dc:description/>
  <cp:lastModifiedBy>Томарова</cp:lastModifiedBy>
  <cp:revision>2</cp:revision>
  <dcterms:created xsi:type="dcterms:W3CDTF">2019-11-12T06:07:00Z</dcterms:created>
  <dcterms:modified xsi:type="dcterms:W3CDTF">2019-11-12T06:08:00Z</dcterms:modified>
</cp:coreProperties>
</file>