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1"/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FC347D" w:rsidTr="00FC347D">
        <w:tc>
          <w:tcPr>
            <w:tcW w:w="9606" w:type="dxa"/>
          </w:tcPr>
          <w:p w:rsidR="00FC347D" w:rsidRDefault="00FC347D">
            <w:pPr>
              <w:pStyle w:val="a5"/>
              <w:spacing w:line="276" w:lineRule="auto"/>
              <w:jc w:val="center"/>
            </w:pPr>
          </w:p>
          <w:p w:rsidR="00FC347D" w:rsidRDefault="00FC347D">
            <w:pPr>
              <w:pStyle w:val="a5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7D" w:rsidRDefault="00FC347D">
            <w:pPr>
              <w:pStyle w:val="a5"/>
              <w:spacing w:line="276" w:lineRule="auto"/>
              <w:jc w:val="center"/>
            </w:pPr>
          </w:p>
          <w:p w:rsidR="00FC347D" w:rsidRDefault="00FC347D">
            <w:pPr>
              <w:pStyle w:val="a5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СОБРАНИЕ  ДЕПУТАТОВ  ПЛАСТОВСКОГО МУНИЦИПАЛЬНОГО РАЙОНА</w:t>
            </w:r>
          </w:p>
          <w:p w:rsidR="00FC347D" w:rsidRDefault="00FC347D">
            <w:pPr>
              <w:pStyle w:val="a5"/>
              <w:spacing w:line="276" w:lineRule="auto"/>
              <w:jc w:val="center"/>
            </w:pPr>
          </w:p>
          <w:p w:rsidR="00FC347D" w:rsidRDefault="00FC347D">
            <w:pPr>
              <w:pStyle w:val="a5"/>
              <w:pBdr>
                <w:bottom w:val="single" w:sz="12" w:space="1" w:color="auto"/>
              </w:pBdr>
              <w:spacing w:line="276" w:lineRule="auto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Р</w:t>
            </w:r>
            <w:proofErr w:type="gramEnd"/>
            <w:r>
              <w:rPr>
                <w:sz w:val="40"/>
              </w:rPr>
              <w:t xml:space="preserve"> Е Ш Е Н И Е</w:t>
            </w:r>
          </w:p>
          <w:p w:rsidR="00FC347D" w:rsidRDefault="00FC347D">
            <w:pPr>
              <w:pStyle w:val="a5"/>
              <w:spacing w:line="276" w:lineRule="auto"/>
              <w:jc w:val="center"/>
            </w:pPr>
          </w:p>
          <w:p w:rsidR="00FC347D" w:rsidRDefault="00FC347D">
            <w:pPr>
              <w:pStyle w:val="a5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28 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        02         </w:t>
            </w:r>
            <w:r>
              <w:rPr>
                <w:sz w:val="28"/>
              </w:rPr>
              <w:t xml:space="preserve"> 2017 г.                                                                     №</w:t>
            </w:r>
            <w:r>
              <w:rPr>
                <w:sz w:val="28"/>
                <w:u w:val="single"/>
              </w:rPr>
              <w:t>22</w:t>
            </w:r>
          </w:p>
          <w:p w:rsidR="00FC347D" w:rsidRDefault="00FC347D">
            <w:pPr>
              <w:pStyle w:val="a5"/>
              <w:spacing w:line="276" w:lineRule="auto"/>
              <w:rPr>
                <w:b/>
                <w:sz w:val="18"/>
              </w:rPr>
            </w:pPr>
          </w:p>
        </w:tc>
      </w:tr>
    </w:tbl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 о  порядке  организации  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проведения торгов на  право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 договора  на установку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эксплуатацию  рекламной конструкции  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соответствии со статьей 19 Федерального закона от 13 марта 2006 года №38-ФЗ «О рекламе», Федеральным законом от 6 октября 2003 года №131-ФЗ «Об общих принципах организации 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Собрание 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проведения торгов на право заключения договора на установку и эксплуатацию рекламной конструкции  согласно приложению.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25.09.2008 года №174 «Положение о порядке организации и проведения торгов (конкурсов,  аукционов) на  право заключения договора на установку и эксплуатацию рекламной конструкции на недвижимом имуществе, находящемся в муниципальной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настоящего решения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управлению экономикой и муниципальным имуществом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47D" w:rsidRDefault="00FC347D" w:rsidP="00FC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данного решения поручить постоянной депутатской комиссии по бюджету и экономике (Н.П. Пинаева).</w:t>
      </w:r>
    </w:p>
    <w:p w:rsidR="00FC347D" w:rsidRDefault="00FC347D" w:rsidP="00FC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обнародовать на информационных стендах.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депутатов 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Пташко</w:t>
      </w:r>
      <w:proofErr w:type="spellEnd"/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В. Неклюдов </w:t>
      </w:r>
    </w:p>
    <w:p w:rsidR="00FC347D" w:rsidRDefault="00FC347D" w:rsidP="00FC3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  Собрания  депутатов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02         </w:t>
      </w:r>
      <w:r>
        <w:rPr>
          <w:rFonts w:ascii="Times New Roman" w:hAnsi="Times New Roman" w:cs="Times New Roman"/>
          <w:sz w:val="28"/>
          <w:szCs w:val="28"/>
        </w:rPr>
        <w:t xml:space="preserve"> 2017г. №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 торгов на  право заключения договора на установку и эксплуатацию рекламной конструкции</w:t>
      </w: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Общие  положения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торгов на право заключения договора на установку и эксплуатацию рекламной  конструкции (далее - Положение), разработано в соответствии с Федеральным законом от 13 марта 2006 №38-ФЗ «О рекламе», Гражданским  Кодексом Российской  Федерации, Федеральным законом от 6 октября2003 года  №131-ФЗ «Об общих принципах организации местного самоуправления в Российской Федерации», Положением о порядке распространения наружной рекламы и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25.11.2010года № 146,Уставом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FC347D" w:rsidRDefault="00FC347D" w:rsidP="00FC347D">
      <w:pPr>
        <w:pStyle w:val="ConsNonformat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организации и проведения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не разграничена, а также на здании или ином недвижимом имуществе, находящемся в муниципальной собственности, условия участия в них, порядок определения  победителей и заключения с ними соответствующих договоров</w:t>
      </w:r>
    </w:p>
    <w:p w:rsidR="00FC347D" w:rsidRDefault="00FC347D" w:rsidP="00FC347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Торги проводятся в форме аукциона.</w:t>
      </w:r>
    </w:p>
    <w:p w:rsidR="00FC347D" w:rsidRDefault="00FC347D" w:rsidP="00FC347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Выигравшим торги на аукционе признается лицо, предложившее наиболее высокую цену.</w:t>
      </w:r>
    </w:p>
    <w:p w:rsidR="00FC347D" w:rsidRDefault="00FC347D" w:rsidP="00FC347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Аукцион является открытым по составу участников и способу подачи предложений.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Предметом торгов является право на заключение договора на  установку и эксплуатацию рекламной конструкции на земельном участке, который находится в муниципальной собственности или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не разграничена, здании или ином недвижимом имуществе, находящемся в муниципальной собственности (далее - договор на установку и эксплуатацию рекламной  конструкции).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Основными принципами проведения торгов являются: единство требований для всех участников, открытость и доступность информации о проведении торгов, гласность и состязательность  при  проведении  торгов. 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Организатором торгов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администрация, Организатор).</w:t>
      </w:r>
    </w:p>
    <w:p w:rsidR="00FC347D" w:rsidRDefault="00FC347D" w:rsidP="00FC347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Проведение торгов осуществляется на основании постановления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 торгов.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о проведении торгов принимается администрацией на основании поступившего заявления о возможности установки и эксплуатации рекламной конструкции, а также администрация вправе по собственной инициативе принять решение о проведении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 Организатор торгов</w:t>
      </w: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Организатор торгов в соответствии с законодательством Российской Федерации  и  настоящим  Положением: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принимает решение о дате и месте проведения торгов на право заключения договора на установку и эксплуатацию  рекламной конструкции;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устанавливает перечень лотов, выставляемых на торги, и определяет начальную цену предмета торгов (Приложение 2);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определяет размер, срок и условия внесения задатка физическими или  юридическими  лицами, намеревающимися принять участие в торгах (далее - претендент);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определяет место, дату начала и окончания приема заявок на участие в  торгах  (далее - заявки);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организует подготовку и публикацию извещения о проведении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утверждает форму заявки (Приложение 1);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принимает от претендентов заявки (с прилагаемыми к ним документами) и ведет их учет по мере поступления в  журнале регистрации заявок с  присвоением каждой заявке номера;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обеспечивает сохранность заявок и прилагаемых к ним документов;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по письменным запросам претендентов дает разъяснения по процедуре проведения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определяет величину повышения начальной цены предмета торгов (далее – «шаг аукциона»). </w:t>
      </w:r>
      <w:proofErr w:type="gramStart"/>
      <w:r>
        <w:rPr>
          <w:rFonts w:ascii="Times New Roman" w:hAnsi="Times New Roman" w:cs="Times New Roman"/>
          <w:sz w:val="28"/>
          <w:szCs w:val="28"/>
        </w:rPr>
        <w:t>«Шаг аукциона» устанавливается в извещении о проведении торгов и остается единым в течение всех торгов;</w:t>
      </w:r>
      <w:proofErr w:type="gramEnd"/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регистрирует претендентов  на участие в  торгах;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принимает решение о признании претендентов участниками  торгов или об отказе в допуске к участию в торгах, по основаниям, установленным действующим законодательством, и уведомляет претендентов о принятом решении;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уведомляет победителей торгов и заключает с ними договоры на установку  и  эксплуатацию  рекламной  конструкции;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принимает на счет, указанный в извещении о проведении торгов, задатки;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возвращает задатки в случаях, предусмотренных законодательством РФ;</w:t>
      </w:r>
    </w:p>
    <w:p w:rsidR="00FC347D" w:rsidRDefault="00FC347D" w:rsidP="00FC347D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16) осуществляет иные функции, возложенные на Организатора  торгов  настоящим  Положением, действующим законодательством Российской Федерации.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Организатор до размещения информационного сообщения принимает решение о создан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кционной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состав которой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Аукционная комиссия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проведении торгов в  соответствии с настоящим Положением создается постоянно действующая аукционная комиссия (далее - комиссия).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В своей деятельности комиссия руководствуется действующим законодательством Российской Федерации и настоящим Положением.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Комиссия: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определяет победителя торгов в соответствии с условиями торгов. По итогам торгов составляется протокол о результатах торгов, который подписывается всеми  членами комиссии;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принимает решение о признании торгов несостоявшимися в установленных Положением случаях;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осуществляет иные полномочия, связанные с проведением торгов, в  соответствии с настоящим  Положением.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Комиссия не вправе предъявлять дополнительные требования к участникам 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Заседания комиссии являются правомочными, если на них присутствует  не  менее 50% от общего числа  членов  комиссии.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Председатель комиссии организует работу, председательствует на заседаниях и представляет комиссию в органах власти и других организациях.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Секретарь комиссии осуществляет подготовку и организацию работы комиссии, оформляет необходимую документацию, в том числе протокол  о  результатах 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Извещение о проведении торгов</w:t>
      </w: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Извещение о проведении торгов должно содержать следующие  сведения: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Организатора торгов, его местонахождение, почтовый адрес, адрес электронной почты, номер контактного телефона;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информацию о форме торгов;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предмет торгов (лот) с указанием номера лота и адресов установки рекламных конструкции;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начальную цену предмета торгов, а также реквизиты счета, на который перечисляется плата за право;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«шаг  аукциона»;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6) требование о внесении задатка, а также размер задатка, а также реквизиты счета, на который перечисляется задаток, в случае если в  документации  о  торгах  предусмотрено  требование, о внесении задатка;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перечень документов, необходимых для участия в торгах, и требования к их оформлению;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условия и сроки заключения договора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эксплуатацию рекламной  конструкции;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срок оплаты права на заключение договора на установку и эксплуатацию рекламной конструкции;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форму заявки;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условия ознакомления с проектом  договора;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дату, время, место и порядок проведения 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дату,  время  начала  и  окончания  приема заявок;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дату,  время,  место  и порядок  определения  участников 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место и  срок подведения итогов торгов, порядок определения победителей 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информацию об определении лица, выигравшего торги;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о лицах,  участие  которых в  торгах  ограничено.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Организатор вправе отказаться от проведения торгов не позднее, чем за пять дней до даты окончания срока подачи заявок на участие в аукционе. 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Извещение об отказе от проведения торгов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plastrayon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на официальном сайте Российской Федерации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C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одного дня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решения об отказе от проведения торгов. В течение двух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решения Организатор направляет соответствующие уведомления всем претендентам. Организатор возвращает претендентам задаток в течение пяти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решения об отказе от проведения торгов.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Извещение о проведении торгов размещается в газете «Знамя  Октября»,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plastrayon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не менее чем за тридцать дней до даты окончания подачи заявок на участие в торгах.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Условия участия в торгах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Для участия в торгах претендент (юридическое или физическое лицо) представляет Организатору торгов (лично или через своего представителя) в установленный в извещении о проведении торгов срок:</w:t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по форме (Приложение 1), подача заявки на участие в аукционе является акцептом оферты в соответствии со статьей 438 Гражданского кодекса Российской Федерации;</w:t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 в соответствии с перечнем, опубликованным в извещении о проведении торгов.</w:t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и опись представленных документов составляется в двух экземплярах, один из которых остается у  Организатора  торгов, другой – у  претендента.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Один претендент имеет право подать только 1 заявку по каждому лоту. Заявка подается на каждый лот отдельно.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При подаче заявки претендент представляет копии  учредительных документов и свидетельства о государственной регистрации (для юридического лица), копию свидетельства о постановке на учет в  налоговом органе, копию свидетельства о государственной регистрации в качестве индивидуального предпринимателя (для индивидуального предпринимателя), копию документа, удостоверяющего личность гражданина (для физического лица). В случае подачи заявки  представителем претендента предъявляется доверенность, оформленная в соответствии с действующим законодательством. Выписка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предпринимателя), в случае не предоставления заявителем, запрашивается посредством электронного межведомственного взаимодействия.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Заявка с прилагаемыми к ней документами регистрируется Организатором торгов в журнале приема заявок с присвоением каждой  заявке номера и с указанием даты и времени подачи документов.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25. Заявка, поступившая по истечении </w:t>
      </w:r>
      <w:r>
        <w:rPr>
          <w:rFonts w:ascii="Times New Roman" w:eastAsia="Calibri" w:hAnsi="Times New Roman" w:cs="Times New Roman"/>
          <w:sz w:val="28"/>
          <w:szCs w:val="28"/>
        </w:rPr>
        <w:t>срока подачи заявок</w:t>
      </w:r>
      <w:r>
        <w:rPr>
          <w:rFonts w:ascii="Times New Roman" w:hAnsi="Times New Roman" w:cs="Times New Roman"/>
          <w:sz w:val="28"/>
          <w:szCs w:val="28"/>
        </w:rPr>
        <w:t>, вместе с документами  по описи возвращается в день ее поступления  претенденту или его  уполномоченному  представителю  под  расписку.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заявке делается отметка об отказе в принятии документов с указанием причины  отказа.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 Претендент имеет право отозвать принятую Организатором 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 возвращается в  порядке, установленном для участников торгов.</w:t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 случае если в документации о торгах предусмотрено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внесении задатка, претендент вносит задаток в размере, в сроки порядке, которые указаны в извещении о проведении торгов. </w:t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задатка устанавливается Организатором торгов в размере 10 процентов  от  начальной  цены  предмета 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 В случае если претендент намерен приобрести несколько лотов, то задаток  оплачивается  по  каждому  лоту.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29. В день определения участников торгов, установленный в извещении о  проведении торгов, Организатор торгов рассматривает заявки и документы претендентов,  устанавливает факт поступления от  претендентов  задатков.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заявок на участие в аукционе не может превышать десяти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подачи заявок.</w:t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По результатам рассмотрения заявок и документов Комиссия принимает решение о признании претендентов  участниками  торгов или  об отказе в допуске претендентов к  участию в торгах, которое оформляется протоколом об итогах рассмотрения заявок и определения участников торгов. В указанном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 оснований  отказа. Протокол рассмотрения заявок подписывается всеми присутствующими на заседании членами аукционной комиссии в день окончания рассмотрения заявок. 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 Претендент не допускается к участию в торгах по следующим основаниям: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представлен неполный пакет документов в соответствии с  перечнем, указанным в извещении о проведении торгов или оформление необходимых документов не соответствует законодательству  Российской  Федерации;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заявка подана лицом, не уполномоченным претендентом на осуществление таких действий;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не подтверждено поступление в установленный срок задатка на счет, указанный  в  извещении о проведении торгов;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4) наличия решения о ликвидации претендента - юридического лица или наличие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наличие решения о приостановлении деятельности претендента в порядке, предусмотренном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торгах.</w:t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Организатор торгов обязан вернуть внесенный задаток  претенденту, не  допущенному к участию в торгах, в течение 5 рабочих дней со дня подписания протокола об итогах приема заявок и определении участников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33. Претенденты, признанные участниками торгов, и претенденты, не допущенные к участию в торгах, уведомляются о принятом решении  не позднее следующего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решения протоколом об итогах приема заявок, путем вручения им под расписку соответствующего уведомления либо направления такого уведомления  по почте заказным письмом.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34. Претендент приобретает статус участника торгов с момента подписания протокола об итогах приема заявок и определения участников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по окончании срока подачи заявок на участие в торгах подана только одна заявка или не подано ни одной заявки, торги признаются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несостоявшимися. В случае если извещением о проведении торгов предусмотрено два и более лота, торги признаются несостоявшимся только в отношении лотов, в отношении которых подана только одна заявка или не подано ни одной заявки. В протокол о рассмотрении заявок вносится информация о признании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347D" w:rsidRDefault="00FC347D" w:rsidP="00FC34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извещением о торгах, а также с лицом, признанным единственным участником торгов, организатор торгов заключает договор на условиях 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цене, которые предусмотрены заявкой на участие в торгах и извещением о торгах, но по цене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менее начальной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(минимальной) цены договора (лота), указанной в извещении о проведении торгов.</w:t>
      </w: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Порядок проведения торгов и определения победителя</w:t>
      </w: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Процедура  проведения  торгов  в  форме  аукциона:</w:t>
      </w:r>
    </w:p>
    <w:p w:rsidR="00FC347D" w:rsidRDefault="00FC347D" w:rsidP="00FC347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аукцион проводится в присутствии членов аукционной комиссии и участников аукциона (их представителей).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 началом аукциона его участники проходят предварительную регистрацию у секретаря аукционной комиссии и получают аукционный номер.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торги проводятся последовательно и отдельно по каждому лоту.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аукцион начинается с объявления аукционистом об 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торги по каждому лоту начинаются с оглашения лицом, ведущим аукцион (далее по тексту - аукционист), номера лота, его наименования, краткой характеристики, начальной цены лота, шага аукциона, а также списка зарегистрированных участников торгов по данному лоту.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шаг аукциона устанавливается в фиксированной сумме, составляющей 5 процентов начальной цены права, и не изменяется в течение всего  аукциона»;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после заявления участниками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аукционных номеров участников аукциона. В случае заявления цены, превышающей предыдущую цену больше, чем на «шаг аукциона» и кратной «шагу аукциона», эта 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участником путем поднятия аукционного номера участника аукциона и ее оглашения. Участники не вправе иными способами заявлять свои предложения по цене продажи. Если названная цена меньше или равна предыдущей или не кратна «шагу аукциона», она считается не заявленной;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после объявления очередной цены аукционист называет аукционный номер участника аукциона, который первым поднял номер, и указывает на этого участника аукциона.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аукционный номер участника аукциона, аукцион завершается;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 завершен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права на заключение договора на установку и эксплуатацию рекламной конструкции, называет его продажную цену и аукционный номер участника аукциона – победителя;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победителем аукциона признается тот участник аукциона, аукционный номер которого и заявленная им цена были названы аукционистом последними;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цена, предложенная победителем аукциона, заносится в протокол о результатах торгов.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 При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кциона Организатор осуществляет аудио- или видеозапись аукциона и ведет протокол аукциона.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37. Любой участник аукциона вправе осуществлять ауди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и/или видеозапись аукциона.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38. 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протокола передает победителю аукциона один экземпляр протокола и проект Договора.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Торги признаются несостоявшимися в следующих случаях: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на участие в торгах подано менее двух заявок;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ни один из участников после троекратного объявления начальной цены предмета торгов не поднял аукционный номер участника аукциона.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В случае признания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составляет протокол о признании торгов несостоявшимися.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При соблюдении требований действующего законодательства Российской Федерации договор на установку и эксплуатацию рекламной конструкции заключается с лицом, которое являлось единственным участником торгов.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В случае если победитель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уклонился от подписания протокола о результатах торгов комиссия признает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торгов лицо, предложившее максимальную цену, следующую после предложенной победителем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Оформление результатов торгов</w:t>
      </w: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43. Результаты проведения торгов оформляются протоколом о результатах торгов, который подписывается всеми присутствующими членами  комиссии, победителем торгов в день проведения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44. Член комиссии, не согласившийся с решением комиссии, имеет право приложить к протоколу о результатах торгов свое особое мнение в письменной  форме.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45. Протокол о результатах торгов составляется в двух экземплярах, имеющих  одинаковую силу, один из которых передается победителю торгов, а второй остается у Организатора 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46. В протоколе указываются: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состав комиссии;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предмет торгов и его основные характеристики;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наименование и адреса участников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предложения участников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результаты торгов с указанием цены права на заключение договора на установку и эксплуатацию рекламной конструкции, предложенной победителем торгов;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победитель  торгов.</w:t>
      </w:r>
    </w:p>
    <w:p w:rsidR="00FC347D" w:rsidRDefault="00FC347D" w:rsidP="00FC3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47. Протокол не позднее 1 рабочего дня размещается на официальном сайте Российской Федерации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plastrayon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48. Протокол о результатах торгов является основанием для заключения с победителем торгов договора на установку и эксплуатацию рекламной конструкции.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49. Договор на установку и эксплуатацию рекламной конструкции подлежит заключению в срок не ранее 10 дней, но не позднее 20 дней со дня подписания протокола о результатах торгов.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50. Организатор торгов в течение 3 дней со дня подписания протокола о результатах торгов передает победителю торгов проект договора на установку и эксплуатацию рекламной конструкции.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51. Победитель торгов должен подписать и заверить печатью указанный  проект  договора и  вернуть  его  Организатору  торгов  в срок  не позднее установленного в извещении о проведении торгов срока  заключения договора  на установку  и  эксплуатацию  рекламной  конструкции.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52. В течение 5 рабочих дней со дня проведения торгов участникам торгов, не ставшим победителями торгов, возвращаются внесенные задатки по соответствующим лотам.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53. Победителю торгов по соответствующему лоту задаток засчитывается в сумму оплаты за право на заключение договора на установку и  эксплуатацию рекламной  конструкции.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54. Победитель торгов в случае уклонения от подписания протокола о результатах торгов, либо в дальнейшем от подписания договора на установку и эксплуатацию рекламной конструкции, утрачивает  внесенный задаток.</w:t>
      </w:r>
    </w:p>
    <w:p w:rsidR="00FC347D" w:rsidRDefault="00FC347D" w:rsidP="00FC34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Победитель торгов обязан оплатить право заключения договора на установку и эксплуатацию рекламной конструкции единовременным платежом в течение 5 рабочих дней после заключения договора на установку  и  эксплуатацию  рекламной  конструкции.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56. Победитель торгов, оплативший право на заключение договора на установку  и эксплуатацию рекламной конструкции и заключивший договор, вправе приступить к монтажу рекламной конструкции после оформления в установленном законодательством порядке разрешения на установку рекламной  конструкции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347D" w:rsidRDefault="00FC347D" w:rsidP="00FC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57.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пяти лет.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Разрешение  споров</w:t>
      </w:r>
    </w:p>
    <w:p w:rsidR="00FC347D" w:rsidRDefault="00FC347D" w:rsidP="00FC34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58. Торги, проведенные с нарушением правил, установленных законом, могут  быть  признаны судом недействительными по иску заинтересованного  лица.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59. Признание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влечет недействительность  договора,  заключенного с  лицом,  выигравшим  торги.</w:t>
      </w:r>
    </w:p>
    <w:p w:rsidR="00FC347D" w:rsidRDefault="00FC347D" w:rsidP="00FC3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 о  порядке  организации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проведения аукциона направо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договора  на установку и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эксплуатацию рекламной конструкции</w:t>
      </w:r>
    </w:p>
    <w:p w:rsidR="00FC347D" w:rsidRDefault="00FC347D" w:rsidP="00FC347D">
      <w:pPr>
        <w:spacing w:after="0" w:line="240" w:lineRule="auto"/>
        <w:ind w:left="21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ab/>
      </w:r>
    </w:p>
    <w:p w:rsidR="00FC347D" w:rsidRDefault="00FC347D" w:rsidP="00F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аукциона</w:t>
      </w:r>
    </w:p>
    <w:p w:rsidR="00FC347D" w:rsidRDefault="00FC347D" w:rsidP="00F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347D" w:rsidRDefault="00FC347D" w:rsidP="00FC34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347D" w:rsidRDefault="00FC347D" w:rsidP="00F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C347D" w:rsidRDefault="00FC347D" w:rsidP="00F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на право заключения договора</w:t>
      </w:r>
    </w:p>
    <w:p w:rsidR="00FC347D" w:rsidRDefault="00FC347D" w:rsidP="00F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(Ф.И.О. гражданина или полное наименование юридического лица)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(адрес / местонахождение, телефон / факс)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(для гражданина данные паспорта: серия и номер, кем, где, когда выдан. </w:t>
      </w:r>
      <w:proofErr w:type="gramEnd"/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Для юридического лица или индивидуального предпринимателя – номер и дата регистрации в Едином государственном реестре) </w:t>
      </w:r>
      <w:proofErr w:type="gramEnd"/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состав претендентов для участия в аукционе, открытом по составу участников и форме подачи предложений о цене права на заключение  договора на установку и эксплуатацию рекламной конструкции, расположенной по адресу: 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местоположение рекламной конструкции, информационное поле, тип</w:t>
      </w:r>
      <w:proofErr w:type="gramStart"/>
      <w:r>
        <w:rPr>
          <w:rFonts w:ascii="Times New Roman" w:hAnsi="Times New Roman" w:cs="Times New Roman"/>
          <w:sz w:val="16"/>
          <w:szCs w:val="16"/>
        </w:rPr>
        <w:t>, )</w:t>
      </w:r>
      <w:proofErr w:type="gramEnd"/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 сумме ___________________________________________________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(указать цифрами и прописью сумму внесенного задатка)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 для возврата задатка __________________</w:t>
      </w:r>
    </w:p>
    <w:p w:rsidR="00FC347D" w:rsidRDefault="00FC347D" w:rsidP="00FC347D">
      <w:p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347D" w:rsidRDefault="00FC347D" w:rsidP="00FC347D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  <w:gridCol w:w="1076"/>
      </w:tblGrid>
      <w:tr w:rsidR="00FC347D" w:rsidTr="00FC347D"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FC347D" w:rsidTr="00FC347D">
        <w:trPr>
          <w:trHeight w:val="19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Копия документа, удостоверяющих личность (для физических лиц,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индивидуальных предпринимателей)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47D" w:rsidTr="00FC347D">
        <w:trPr>
          <w:trHeight w:val="19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Копия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 о государственной регистрации юридического лица.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47D" w:rsidTr="00FC347D">
        <w:trPr>
          <w:trHeight w:val="19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3.Копия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47D" w:rsidTr="00FC347D">
        <w:trPr>
          <w:trHeight w:val="330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Копии учредительных документов (для юридических лиц).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47D" w:rsidTr="00FC347D">
        <w:trPr>
          <w:trHeight w:val="22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47D" w:rsidTr="00FC347D">
        <w:trPr>
          <w:trHeight w:val="22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47D" w:rsidTr="00FC347D">
        <w:trPr>
          <w:trHeight w:val="330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представителя №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D" w:rsidRDefault="00FC347D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47D" w:rsidRDefault="00FC347D" w:rsidP="00FC347D">
      <w:pPr>
        <w:tabs>
          <w:tab w:val="left" w:pos="40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___________            _________________________</w:t>
      </w:r>
    </w:p>
    <w:p w:rsidR="00FC347D" w:rsidRDefault="00FC347D" w:rsidP="00FC347D">
      <w:pPr>
        <w:tabs>
          <w:tab w:val="left" w:pos="404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заявителя / представителя) </w:t>
      </w:r>
    </w:p>
    <w:p w:rsidR="00FC347D" w:rsidRDefault="00FC347D" w:rsidP="00FC347D">
      <w:pPr>
        <w:tabs>
          <w:tab w:val="left" w:pos="40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принята организатором аукциона 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«__» ______ 20__г. </w:t>
      </w:r>
    </w:p>
    <w:p w:rsidR="00FC347D" w:rsidRDefault="00FC347D" w:rsidP="00FC347D">
      <w:pPr>
        <w:tabs>
          <w:tab w:val="left" w:pos="4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_______  </w:t>
      </w:r>
    </w:p>
    <w:p w:rsidR="00FC347D" w:rsidRDefault="00FC347D" w:rsidP="00FC347D">
      <w:pPr>
        <w:tabs>
          <w:tab w:val="left" w:pos="4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ответственного за прием заявок _________________________                     </w:t>
      </w:r>
    </w:p>
    <w:p w:rsidR="00FC347D" w:rsidRDefault="00FC347D" w:rsidP="00FC347D">
      <w:pPr>
        <w:tabs>
          <w:tab w:val="left" w:pos="4046"/>
        </w:tabs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 о  порядке  организации  и  проведения</w:t>
      </w:r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аукциона  на право  заключения 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347D" w:rsidRDefault="00FC347D" w:rsidP="00FC34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установку и  эксплуатацию рекламной конструкции</w:t>
      </w:r>
    </w:p>
    <w:p w:rsidR="00FC347D" w:rsidRDefault="00FC347D" w:rsidP="00FC3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 начальной  цены  предмета  торгов</w:t>
      </w:r>
    </w:p>
    <w:p w:rsidR="00FC347D" w:rsidRDefault="00FC347D" w:rsidP="00F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начальной цены предмета аукциона на право заключения договора на установку и эксплуатацию рекламной конструкции, определяется  по  следующей  формуле: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А=  БС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К1 х К2 , где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начальной цены на  право заключения  договора  на  установку,  эксплуатацию  рекламной  конструкции;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базовая  ставка (утверждается 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района);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 рекламного  изображения;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коэффициент,  учитывающий  площадь  рекламного  изображения: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площадью  до  3  кв. м.  включительно-1,5,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площадью  свыше  3  кв. м.  до  20 кв. м. – 1,3,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площадью  свыше  20  кв. м. – 1,0,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коэффициент  учитывающий  освещенность  рекламной  конструкции: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 подсветки- 1,0,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подсветкой- 0,7,</w:t>
      </w:r>
    </w:p>
    <w:p w:rsidR="00FC347D" w:rsidRDefault="00FC347D" w:rsidP="00FC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внутренней  подсветкой – 0,5.</w:t>
      </w:r>
    </w:p>
    <w:p w:rsidR="00781034" w:rsidRDefault="00781034">
      <w:bookmarkStart w:id="0" w:name="_GoBack"/>
      <w:bookmarkEnd w:id="0"/>
    </w:p>
    <w:sectPr w:rsidR="0078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5E"/>
    <w:rsid w:val="002B235E"/>
    <w:rsid w:val="00781034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47D"/>
    <w:rPr>
      <w:color w:val="0000FF" w:themeColor="hyperlink"/>
      <w:u w:val="single"/>
    </w:rPr>
  </w:style>
  <w:style w:type="character" w:customStyle="1" w:styleId="a4">
    <w:name w:val="Верхний колонтитул Знак"/>
    <w:aliases w:val="Знак1 Знак"/>
    <w:basedOn w:val="a0"/>
    <w:link w:val="a5"/>
    <w:locked/>
    <w:rsid w:val="00FC3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aliases w:val="Знак1"/>
    <w:basedOn w:val="a"/>
    <w:link w:val="a4"/>
    <w:unhideWhenUsed/>
    <w:rsid w:val="00FC34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C347D"/>
    <w:rPr>
      <w:rFonts w:eastAsiaTheme="minorEastAsia"/>
      <w:lang w:eastAsia="ru-RU"/>
    </w:rPr>
  </w:style>
  <w:style w:type="paragraph" w:customStyle="1" w:styleId="ConsNonformat">
    <w:name w:val="ConsNonformat"/>
    <w:rsid w:val="00FC34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3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47D"/>
    <w:rPr>
      <w:color w:val="0000FF" w:themeColor="hyperlink"/>
      <w:u w:val="single"/>
    </w:rPr>
  </w:style>
  <w:style w:type="character" w:customStyle="1" w:styleId="a4">
    <w:name w:val="Верхний колонтитул Знак"/>
    <w:aliases w:val="Знак1 Знак"/>
    <w:basedOn w:val="a0"/>
    <w:link w:val="a5"/>
    <w:locked/>
    <w:rsid w:val="00FC3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aliases w:val="Знак1"/>
    <w:basedOn w:val="a"/>
    <w:link w:val="a4"/>
    <w:unhideWhenUsed/>
    <w:rsid w:val="00FC34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C347D"/>
    <w:rPr>
      <w:rFonts w:eastAsiaTheme="minorEastAsia"/>
      <w:lang w:eastAsia="ru-RU"/>
    </w:rPr>
  </w:style>
  <w:style w:type="paragraph" w:customStyle="1" w:styleId="ConsNonformat">
    <w:name w:val="ConsNonformat"/>
    <w:rsid w:val="00FC34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3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3BA6EABDDC4BDA87CF58249DBBFB452E4FF07F8ABA7B9847A436FE851F6C540AAEFB2DO4iE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4210</Words>
  <Characters>23997</Characters>
  <Application>Microsoft Office Word</Application>
  <DocSecurity>0</DocSecurity>
  <Lines>199</Lines>
  <Paragraphs>56</Paragraphs>
  <ScaleCrop>false</ScaleCrop>
  <Company/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2</cp:revision>
  <dcterms:created xsi:type="dcterms:W3CDTF">2019-12-13T10:29:00Z</dcterms:created>
  <dcterms:modified xsi:type="dcterms:W3CDTF">2019-12-13T10:29:00Z</dcterms:modified>
</cp:coreProperties>
</file>